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01D6F" w14:textId="5A77FB21" w:rsidR="006C7F87" w:rsidRPr="00057FB8" w:rsidRDefault="0033790A" w:rsidP="0033790A">
      <w:pPr>
        <w:pStyle w:val="Pagedecouverture"/>
        <w:rPr>
          <w:noProof/>
        </w:rPr>
      </w:pPr>
      <w:r>
        <w:rPr>
          <w:noProof/>
        </w:rPr>
        <w:pict w14:anchorId="68234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A845DA0-9CB7-4710-88F5-750A34F796B3" style="width:455.25pt;height:426pt">
            <v:imagedata r:id="rId11" o:title=""/>
          </v:shape>
        </w:pict>
      </w:r>
    </w:p>
    <w:p w14:paraId="424625E9" w14:textId="77777777" w:rsidR="006C7F87" w:rsidRPr="00057FB8" w:rsidRDefault="006C7F87" w:rsidP="006C7F87">
      <w:pPr>
        <w:rPr>
          <w:noProof/>
        </w:rPr>
        <w:sectPr w:rsidR="006C7F87" w:rsidRPr="00057FB8" w:rsidSect="0033790A">
          <w:footerReference w:type="even" r:id="rId12"/>
          <w:footerReference w:type="default" r:id="rId13"/>
          <w:pgSz w:w="11907" w:h="16839"/>
          <w:pgMar w:top="1134" w:right="1417" w:bottom="1134" w:left="1417" w:header="709" w:footer="709" w:gutter="0"/>
          <w:pgNumType w:start="0"/>
          <w:cols w:space="720"/>
          <w:docGrid w:linePitch="360"/>
        </w:sectPr>
      </w:pPr>
    </w:p>
    <w:p w14:paraId="18292C6C" w14:textId="77777777" w:rsidR="006C7F87" w:rsidRPr="00057FB8" w:rsidRDefault="006C7F87" w:rsidP="0094068A">
      <w:pPr>
        <w:pStyle w:val="Exposdesmotifstitre"/>
        <w:rPr>
          <w:noProof/>
        </w:rPr>
      </w:pPr>
      <w:bookmarkStart w:id="0" w:name="_GoBack"/>
      <w:bookmarkEnd w:id="0"/>
      <w:r w:rsidRPr="00057FB8">
        <w:rPr>
          <w:noProof/>
        </w:rPr>
        <w:lastRenderedPageBreak/>
        <w:t>EXPUNERE DE MOTIVE</w:t>
      </w:r>
    </w:p>
    <w:p w14:paraId="7E99D75D" w14:textId="77777777" w:rsidR="006C7F87" w:rsidRPr="00057FB8" w:rsidRDefault="006C7F87" w:rsidP="0094068A">
      <w:pPr>
        <w:pStyle w:val="ManualHeading1"/>
        <w:rPr>
          <w:noProof/>
        </w:rPr>
      </w:pPr>
      <w:r w:rsidRPr="00057FB8">
        <w:rPr>
          <w:noProof/>
        </w:rPr>
        <w:t>1.</w:t>
      </w:r>
      <w:r w:rsidRPr="00057FB8">
        <w:rPr>
          <w:noProof/>
        </w:rPr>
        <w:tab/>
        <w:t>CONTEXTUL PROPUNERII</w:t>
      </w:r>
    </w:p>
    <w:p w14:paraId="6EE80A76" w14:textId="77777777" w:rsidR="006C7F87" w:rsidRPr="00057FB8" w:rsidRDefault="006C7F87" w:rsidP="0094068A">
      <w:pPr>
        <w:pStyle w:val="ManualHeading2"/>
        <w:rPr>
          <w:rFonts w:eastAsia="Arial Unicode MS"/>
          <w:noProof/>
        </w:rPr>
      </w:pPr>
      <w:r w:rsidRPr="00057FB8">
        <w:rPr>
          <w:noProof/>
          <w:color w:val="000000"/>
          <w:u w:color="000000"/>
          <w:bdr w:val="nil"/>
        </w:rPr>
        <w:t>•</w:t>
      </w:r>
      <w:r w:rsidRPr="00057FB8">
        <w:rPr>
          <w:noProof/>
          <w:color w:val="000000"/>
          <w:u w:color="000000"/>
          <w:bdr w:val="nil"/>
        </w:rPr>
        <w:tab/>
      </w:r>
      <w:r w:rsidRPr="00057FB8">
        <w:rPr>
          <w:noProof/>
        </w:rPr>
        <w:t>Motivele și obiectivele propunerii</w:t>
      </w:r>
    </w:p>
    <w:p w14:paraId="56E63E7C" w14:textId="77777777" w:rsidR="00A53DB0" w:rsidRPr="00057FB8" w:rsidRDefault="00A53DB0" w:rsidP="00A53DB0">
      <w:pPr>
        <w:pBdr>
          <w:top w:val="nil"/>
          <w:left w:val="nil"/>
          <w:bottom w:val="nil"/>
          <w:right w:val="nil"/>
          <w:between w:val="nil"/>
          <w:bar w:val="nil"/>
        </w:pBdr>
        <w:spacing w:before="0" w:after="240"/>
        <w:rPr>
          <w:rStyle w:val="normaltextrun"/>
          <w:noProof/>
          <w:u w:val="single"/>
        </w:rPr>
      </w:pPr>
      <w:r w:rsidRPr="00057FB8">
        <w:rPr>
          <w:rStyle w:val="normaltextrun"/>
          <w:noProof/>
          <w:u w:val="single"/>
        </w:rPr>
        <w:t>Context general și obiective</w:t>
      </w:r>
    </w:p>
    <w:p w14:paraId="59F8115B" w14:textId="77777777" w:rsidR="004875CD" w:rsidRPr="00057FB8" w:rsidRDefault="004875CD" w:rsidP="004875CD">
      <w:pPr>
        <w:tabs>
          <w:tab w:val="num" w:pos="709"/>
        </w:tabs>
        <w:rPr>
          <w:noProof/>
        </w:rPr>
      </w:pPr>
      <w:r w:rsidRPr="00057FB8">
        <w:rPr>
          <w:noProof/>
        </w:rPr>
        <w:t>În raportul său intitulat „Viitorul competitivității europene”, Mario Draghi a subliniat necesitatea ca Europa să creeze un cadru de reglementare care să faciliteze competitivitatea și reziliența, atrăgând atenția asupra sarcinii și a costurilor de conformare create de Directiva referitoare la raportarea privind durabilitatea de către întreprinderi (CSRD) și de Directiva privind diligența necesară în materie de durabilitate a întreprinderilor (CSDDD)</w:t>
      </w:r>
      <w:r w:rsidRPr="00057FB8">
        <w:rPr>
          <w:rStyle w:val="FootnoteReference"/>
          <w:noProof/>
        </w:rPr>
        <w:footnoteReference w:id="2"/>
      </w:r>
      <w:r w:rsidRPr="00057FB8">
        <w:rPr>
          <w:noProof/>
        </w:rPr>
        <w:t>. În Declarația de la Budapesta privind noul pact pentru competitivitatea europeană, șefii de stat sau de guvern din UE au solicitat lansarea „unei revoluții a simplificării, care să asigure un cadru de reglementare clar, simplu și inteligent pentru întreprinderi și care să reducă drastic obstacolele administrative, de reglementare și de raportare, în special pentru IMM-uri”.</w:t>
      </w:r>
      <w:r w:rsidRPr="00057FB8">
        <w:rPr>
          <w:noProof/>
          <w:sz w:val="22"/>
          <w:vertAlign w:val="superscript"/>
        </w:rPr>
        <w:t xml:space="preserve"> </w:t>
      </w:r>
      <w:r w:rsidRPr="00057FB8">
        <w:rPr>
          <w:rStyle w:val="FootnoteReference"/>
          <w:noProof/>
        </w:rPr>
        <w:footnoteReference w:id="3"/>
      </w:r>
      <w:r w:rsidRPr="00057FB8">
        <w:rPr>
          <w:noProof/>
        </w:rPr>
        <w:t xml:space="preserve"> Aceștia au solicitat Comisiei să prezinte, în prima jumătate a anului 2025, propuneri concrete privind reducerea cerințelor de raportare cu cel puțin 25 %. </w:t>
      </w:r>
    </w:p>
    <w:p w14:paraId="1CBEC8FF" w14:textId="77777777" w:rsidR="004875CD" w:rsidRPr="00057FB8" w:rsidRDefault="004875CD" w:rsidP="004875CD">
      <w:pPr>
        <w:tabs>
          <w:tab w:val="num" w:pos="709"/>
        </w:tabs>
        <w:rPr>
          <w:noProof/>
        </w:rPr>
      </w:pPr>
      <w:r w:rsidRPr="00057FB8">
        <w:rPr>
          <w:noProof/>
        </w:rPr>
        <w:t>În comunicarea sa „O Busolă pentru competitivitatea UE”, Comisia a confirmat că va propune un prim „pachet omnibus de simplificare”, care va include o simplificare cuprinzătoare vizând domeniile raportării privind finanțarea durabilă, diligenței necesare în materie de durabilitate și taxonomiei</w:t>
      </w:r>
      <w:r w:rsidRPr="00057FB8">
        <w:rPr>
          <w:rStyle w:val="FootnoteReference"/>
          <w:noProof/>
        </w:rPr>
        <w:footnoteReference w:id="4"/>
      </w:r>
      <w:r w:rsidRPr="00057FB8">
        <w:rPr>
          <w:noProof/>
        </w:rPr>
        <w:t>.</w:t>
      </w:r>
      <w:r w:rsidRPr="00057FB8">
        <w:rPr>
          <w:noProof/>
          <w:sz w:val="22"/>
          <w:vertAlign w:val="superscript"/>
        </w:rPr>
        <w:t xml:space="preserve"> </w:t>
      </w:r>
      <w:r w:rsidRPr="00057FB8">
        <w:rPr>
          <w:noProof/>
        </w:rPr>
        <w:t>În comunicarea sa intitulată „O Europă mai simplă și mai rapidă: comunicare privind punerea în aplicare și simplificarea”, Comisia a prezentat o agendă de punere în aplicare și simplificare care să aducă îmbunătățiri rapide și vizibile pentru cetățeni și întreprinderi pe teren, propunând mai mult decât o abordare treptată și subliniind necesitatea unor acțiuni temerare pentru a raționaliza și a simplifica normele UE, precum și pe cele naționale și regionale</w:t>
      </w:r>
      <w:r w:rsidRPr="00057FB8">
        <w:rPr>
          <w:rStyle w:val="FootnoteReference"/>
          <w:noProof/>
        </w:rPr>
        <w:footnoteReference w:id="5"/>
      </w:r>
      <w:r w:rsidRPr="00057FB8">
        <w:rPr>
          <w:noProof/>
        </w:rPr>
        <w:t>.</w:t>
      </w:r>
    </w:p>
    <w:p w14:paraId="5E31988E" w14:textId="77777777" w:rsidR="00A53DB0" w:rsidRPr="00057FB8" w:rsidRDefault="00A53DB0" w:rsidP="00A53DB0">
      <w:pPr>
        <w:pBdr>
          <w:top w:val="nil"/>
          <w:left w:val="nil"/>
          <w:bottom w:val="nil"/>
          <w:right w:val="nil"/>
          <w:between w:val="nil"/>
          <w:bar w:val="nil"/>
        </w:pBdr>
        <w:spacing w:before="0" w:after="240"/>
        <w:rPr>
          <w:rStyle w:val="eop"/>
          <w:noProof/>
          <w:shd w:val="clear" w:color="auto" w:fill="FFFFFF"/>
        </w:rPr>
      </w:pPr>
      <w:r w:rsidRPr="00057FB8">
        <w:rPr>
          <w:rStyle w:val="normaltextrun"/>
          <w:noProof/>
        </w:rPr>
        <w:t>CSRD a intrat în vigoare la 5 ianuarie 2023</w:t>
      </w:r>
      <w:r w:rsidRPr="00057FB8">
        <w:rPr>
          <w:rStyle w:val="FootnoteReference"/>
          <w:noProof/>
        </w:rPr>
        <w:footnoteReference w:id="6"/>
      </w:r>
      <w:r w:rsidRPr="00057FB8">
        <w:rPr>
          <w:rStyle w:val="normaltextrun"/>
          <w:noProof/>
        </w:rPr>
        <w:t>. Aceasta a consolidat și a modernizat cerințele de raportare privind durabilitatea de către întreprinderi prin modificări ale Directivei contabile, ale Directivei privind transparența, ale Directivei privind auditul și ale Regulamentului privind auditul</w:t>
      </w:r>
      <w:r w:rsidRPr="00057FB8">
        <w:rPr>
          <w:rStyle w:val="FootnoteReference"/>
          <w:noProof/>
        </w:rPr>
        <w:footnoteReference w:id="7"/>
      </w:r>
      <w:r w:rsidRPr="00057FB8">
        <w:rPr>
          <w:rStyle w:val="normaltextrun"/>
          <w:noProof/>
        </w:rPr>
        <w:t xml:space="preserve">. </w:t>
      </w:r>
      <w:r w:rsidRPr="00057FB8">
        <w:rPr>
          <w:rStyle w:val="eop"/>
          <w:noProof/>
          <w:shd w:val="clear" w:color="auto" w:fill="FFFFFF"/>
        </w:rPr>
        <w:t>CSRD este un element important al Pactului verde european și al Planului de acțiune privind finanțarea creșterii durabile</w:t>
      </w:r>
      <w:r w:rsidRPr="00057FB8">
        <w:rPr>
          <w:rStyle w:val="FootnoteReference"/>
          <w:noProof/>
        </w:rPr>
        <w:footnoteReference w:id="8"/>
      </w:r>
      <w:r w:rsidRPr="00057FB8">
        <w:rPr>
          <w:rStyle w:val="eop"/>
          <w:noProof/>
          <w:shd w:val="clear" w:color="auto" w:fill="FFFFFF"/>
        </w:rPr>
        <w:t xml:space="preserve">. Scopul său este de a asigura faptul că investitorii dispun de informațiile de care au nevoie pentru a înțelege și a gestiona riscurile la care sunt expuse societățile în care s-a investit ca urmare a schimbărilor climatice și a altor aspecte legate de durabilitate. Directiva urmărește, de asemenea, să asigure faptul că investitorii și alte părți interesate dispun de informațiile de care au nevoie cu privire la impactul întreprinderilor asupra oamenilor și a mediului. Prin urmare, directiva contribuie la stabilitatea financiară și la integritatea de mediu. Aceasta este o condiție necesară pentru ca resursele financiare să ajungă la întreprinderile care urmăresc obiective de durabilitate și creează o mai mare responsabilizare și transparență față de toate părțile interesate în ceea ce privește rezultatele în materie de durabilitate ale întreprinderilor. </w:t>
      </w:r>
    </w:p>
    <w:p w14:paraId="2FB66916" w14:textId="1EEC1A69" w:rsidR="00A718DA" w:rsidRPr="00057FB8" w:rsidRDefault="00A53DB0" w:rsidP="00A53DB0">
      <w:pPr>
        <w:pBdr>
          <w:top w:val="nil"/>
          <w:left w:val="nil"/>
          <w:bottom w:val="nil"/>
          <w:right w:val="nil"/>
          <w:between w:val="nil"/>
          <w:bar w:val="nil"/>
        </w:pBdr>
        <w:spacing w:before="0" w:after="240"/>
        <w:rPr>
          <w:rFonts w:eastAsia="Arial Unicode MS"/>
          <w:noProof/>
        </w:rPr>
      </w:pPr>
      <w:r w:rsidRPr="00057FB8">
        <w:rPr>
          <w:noProof/>
        </w:rPr>
        <w:t xml:space="preserve">CSDDD a fost adoptată la 13 iunie 2024. Obiectivul său este de a contribui la ambiția mai amplă a Uniunii Europene de a realiza tranziția către o economie durabilă și neutră din punct de vedere climatic, astfel cum se descrie în Pactul verde european. Directiva impune întreprinderilor să identifice și să abordeze impacturile negative asupra drepturilor omului și asupra mediului în propriile lor operațiuni, în operațiunile filialelor lor și în lanțurile lor de activități. </w:t>
      </w:r>
    </w:p>
    <w:p w14:paraId="03EA413F"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CSRD și CSDDD sunt în prezent puse în aplicare într-un context nou și dificil. Războiul de agresiune al Rusiei împotriva Ucrainei a dus la creșterea prețurilor energiei pentru întreprinderile din UE. Pe măsură ce peisajul geopolitic continuă să se schimbe, cresc și tensiunile comerciale. Abordarea diferită adoptată de alte jurisdicții importante în ceea ce privește reglementarea raportării privind durabilitatea și a diligenței necesare ridică semne de întrebare cu privire la efectele acestor acte legislative asupra poziționării concurențiale a întreprinderilor din UE. Capacitatea Uniunii de a-și menține și a-și proteja valorile depinde, printre altele, de capacitatea economiei sale de a se adapta și de a concura într-un context geopolitic instabil și uneori ostil.</w:t>
      </w:r>
    </w:p>
    <w:p w14:paraId="4CD5AF9B" w14:textId="2CFCB7CC" w:rsidR="00A53DB0" w:rsidRPr="00057FB8" w:rsidRDefault="00A53DB0" w:rsidP="00A53DB0">
      <w:pPr>
        <w:pBdr>
          <w:top w:val="nil"/>
          <w:left w:val="nil"/>
          <w:bottom w:val="nil"/>
          <w:right w:val="nil"/>
          <w:between w:val="nil"/>
          <w:bar w:val="nil"/>
        </w:pBdr>
        <w:spacing w:before="0" w:after="240"/>
        <w:rPr>
          <w:noProof/>
        </w:rPr>
      </w:pPr>
      <w:r w:rsidRPr="00057FB8">
        <w:rPr>
          <w:noProof/>
        </w:rPr>
        <w:t>Prin urmare, prezenta propunere amână aplicarea CSDDD și a anumitor dispoziții ale CSRD.</w:t>
      </w:r>
      <w:r w:rsidR="00741D62">
        <w:rPr>
          <w:noProof/>
        </w:rPr>
        <w:t xml:space="preserve"> </w:t>
      </w:r>
    </w:p>
    <w:p w14:paraId="3CBE9D1C" w14:textId="77777777" w:rsidR="00A53DB0" w:rsidRPr="00057FB8" w:rsidRDefault="00A53DB0" w:rsidP="00A53DB0">
      <w:pPr>
        <w:pBdr>
          <w:top w:val="nil"/>
          <w:left w:val="nil"/>
          <w:bottom w:val="nil"/>
          <w:right w:val="nil"/>
          <w:between w:val="nil"/>
          <w:bar w:val="nil"/>
        </w:pBdr>
        <w:spacing w:before="0" w:after="240"/>
        <w:rPr>
          <w:noProof/>
          <w:u w:val="single"/>
        </w:rPr>
      </w:pPr>
      <w:r w:rsidRPr="00057FB8">
        <w:rPr>
          <w:noProof/>
          <w:u w:val="single"/>
        </w:rPr>
        <w:t>Contextul specific și obiectivele prezentei propuneri în ceea ce privește CSRD</w:t>
      </w:r>
    </w:p>
    <w:p w14:paraId="779DFFCE" w14:textId="77777777" w:rsidR="00A53DB0" w:rsidRPr="00057FB8" w:rsidRDefault="006D059E" w:rsidP="00A53DB0">
      <w:pPr>
        <w:pBdr>
          <w:top w:val="nil"/>
          <w:left w:val="nil"/>
          <w:bottom w:val="nil"/>
          <w:right w:val="nil"/>
          <w:between w:val="nil"/>
          <w:bar w:val="nil"/>
        </w:pBdr>
        <w:spacing w:before="0" w:after="240"/>
        <w:rPr>
          <w:noProof/>
        </w:rPr>
      </w:pPr>
      <w:r w:rsidRPr="00057FB8">
        <w:rPr>
          <w:noProof/>
        </w:rPr>
        <w:t>CSRD se aplică în prezent întreprinderilor mari, IMM-urilor ale căror valori mobiliare sunt cotate pe piețele reglementate din UE, societăților-mamă ale grupurilor mari, precum și emitenților care aparțin acestor categorii de întreprinderi. Cerințele de raportare introduse de CSRD sunt prevăzute să se aplice treptat, în funcție de diferitele categorii de întreprinderi. În primul val, entitățile mari de interes public cu peste 500 de angajați trebuie să raporteze pentru prima dată în 2025 pentru exercițiul financiar 2024</w:t>
      </w:r>
      <w:r w:rsidR="00A53DB0" w:rsidRPr="00057FB8">
        <w:rPr>
          <w:rStyle w:val="FootnoteReference"/>
          <w:rFonts w:eastAsia="Arial Unicode MS"/>
          <w:noProof/>
          <w:lang w:eastAsia="en-GB"/>
        </w:rPr>
        <w:footnoteReference w:id="9"/>
      </w:r>
      <w:r w:rsidRPr="00057FB8">
        <w:rPr>
          <w:noProof/>
        </w:rPr>
        <w:t>. În al doilea val, celelalte întreprinderi mari trebuie să raporteze în 2026 pentru exercițiul financiar 2025</w:t>
      </w:r>
      <w:r w:rsidR="0079497B" w:rsidRPr="00057FB8">
        <w:rPr>
          <w:rStyle w:val="FootnoteReference"/>
          <w:rFonts w:eastAsia="Arial Unicode MS"/>
          <w:noProof/>
          <w:lang w:eastAsia="en-GB"/>
        </w:rPr>
        <w:footnoteReference w:id="10"/>
      </w:r>
      <w:r w:rsidRPr="00057FB8">
        <w:rPr>
          <w:noProof/>
        </w:rPr>
        <w:t>. În al treilea val, IMM-urile ale căror valori mobiliare sunt cotate pe piețele reglementate din UE trebuie să raporteze în 2027 pentru exercițiul financiar 2026, dar au posibilitatea de a renunța la raportare pentru exercițiile financiare 2026 și 2027</w:t>
      </w:r>
      <w:r w:rsidR="00691CEA" w:rsidRPr="00057FB8">
        <w:rPr>
          <w:rStyle w:val="FootnoteReference"/>
          <w:rFonts w:eastAsia="Arial Unicode MS"/>
          <w:noProof/>
          <w:lang w:eastAsia="en-GB"/>
        </w:rPr>
        <w:footnoteReference w:id="11"/>
      </w:r>
      <w:r w:rsidRPr="00057FB8">
        <w:rPr>
          <w:noProof/>
        </w:rPr>
        <w:t>. În al patrulea val, anumite întreprinderi din afara UE care desfășoară activități pe teritoriul Uniunii peste anumite praguri trebuie să raporteze în 2029 pentru exercițiul financiar 2028</w:t>
      </w:r>
      <w:r w:rsidR="001E0B9F" w:rsidRPr="00057FB8">
        <w:rPr>
          <w:rStyle w:val="FootnoteReference"/>
          <w:rFonts w:eastAsia="Arial Unicode MS"/>
          <w:noProof/>
          <w:lang w:eastAsia="en-GB"/>
        </w:rPr>
        <w:footnoteReference w:id="12"/>
      </w:r>
      <w:r w:rsidRPr="00057FB8">
        <w:rPr>
          <w:noProof/>
        </w:rPr>
        <w:t xml:space="preserve">. </w:t>
      </w:r>
    </w:p>
    <w:p w14:paraId="036B6A5D" w14:textId="77777777" w:rsidR="00A53DB0" w:rsidRPr="00057FB8" w:rsidRDefault="00A53DB0" w:rsidP="00A53DB0">
      <w:pPr>
        <w:pBdr>
          <w:top w:val="nil"/>
          <w:left w:val="nil"/>
          <w:bottom w:val="nil"/>
          <w:right w:val="nil"/>
          <w:between w:val="nil"/>
          <w:bar w:val="nil"/>
        </w:pBdr>
        <w:spacing w:before="0" w:after="240"/>
        <w:rPr>
          <w:rStyle w:val="normaltextrun"/>
          <w:noProof/>
          <w:color w:val="000000"/>
          <w:shd w:val="clear" w:color="auto" w:fill="FFFFFF"/>
        </w:rPr>
      </w:pPr>
      <w:r w:rsidRPr="00057FB8">
        <w:rPr>
          <w:rStyle w:val="normaltextrun"/>
          <w:noProof/>
        </w:rPr>
        <w:t>CSRD impune întreprinderilor vizate să raporteze informații privind durabilitatea în conformitate cu standardele europene obligatorii de raportare privind durabilitatea (ESRS) și impune Comisiei să adopte astfel de standarde prin acte delegate. În iulie 2023, Comisia a adoptat un prim set de ESRS care se aplică tuturor sectoarelor, adică trebuie să fie aplicate de toate întreprinderile vizate, indiferent de sectorul economic în care își desfășoară activitatea.</w:t>
      </w:r>
      <w:r w:rsidRPr="00F54676">
        <w:rPr>
          <w:rStyle w:val="FootnoteReference"/>
          <w:noProof/>
        </w:rPr>
        <w:footnoteReference w:id="13"/>
      </w:r>
      <w:r w:rsidRPr="00057FB8">
        <w:rPr>
          <w:rStyle w:val="normaltextrun"/>
          <w:noProof/>
          <w:color w:val="000000"/>
          <w:shd w:val="clear" w:color="auto" w:fill="FFFFFF"/>
        </w:rPr>
        <w:t xml:space="preserve"> CSRD impune, de asemenea, Comisiei să adopte standarde de raportare sectoriale, primul set de astfel de standarde urmând să fie adoptat până în iunie 2026. CSRD permite IMM-urilor cotate la bursă să efectueze raportarea cu ajutorul unui set separat, mai simplu și proporțional de standarde în locul setului complet de ESRS. </w:t>
      </w:r>
    </w:p>
    <w:p w14:paraId="4ADC343F" w14:textId="77777777" w:rsidR="00A53DB0" w:rsidRPr="00057FB8" w:rsidRDefault="00A53DB0" w:rsidP="00A53DB0">
      <w:pPr>
        <w:pBdr>
          <w:top w:val="nil"/>
          <w:left w:val="nil"/>
          <w:bottom w:val="nil"/>
          <w:right w:val="nil"/>
          <w:between w:val="nil"/>
          <w:bar w:val="nil"/>
        </w:pBdr>
        <w:spacing w:before="0" w:after="240"/>
        <w:rPr>
          <w:rStyle w:val="eop"/>
          <w:noProof/>
          <w:shd w:val="clear" w:color="auto" w:fill="FFFFFF"/>
        </w:rPr>
      </w:pPr>
      <w:r w:rsidRPr="00057FB8">
        <w:rPr>
          <w:rStyle w:val="normaltextrun"/>
          <w:noProof/>
          <w:color w:val="000000"/>
          <w:shd w:val="clear" w:color="auto" w:fill="FFFFFF"/>
        </w:rPr>
        <w:t>La cererea Comisiei, EFRAG a prezentat un standard de raportare privind durabilitatea care să fie utilizat în mod voluntar de către IMM-urile care nu intră sub incidența cerințelor de raportare (standardul voluntar pentru IMM-uri)</w:t>
      </w:r>
      <w:r w:rsidRPr="00057FB8">
        <w:rPr>
          <w:rStyle w:val="FootnoteReference"/>
          <w:noProof/>
          <w:color w:val="000000"/>
        </w:rPr>
        <w:footnoteReference w:id="14"/>
      </w:r>
      <w:r w:rsidRPr="00057FB8">
        <w:rPr>
          <w:rStyle w:val="normaltextrun"/>
          <w:noProof/>
          <w:color w:val="000000"/>
          <w:shd w:val="clear" w:color="auto" w:fill="FFFFFF"/>
        </w:rPr>
        <w:t>. Obiectivul standardului voluntar pentru IMM-uri este de a oferi IMM-urilor un instrument simplu și recunoscut pe scară largă prin care acestea să poată furniza informații privind durabilitatea băncilor, întreprinderilor mari și altor părți interesate care ar putea solicita astfel de informații.</w:t>
      </w:r>
    </w:p>
    <w:p w14:paraId="7CCD3325"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Alte aspecte importante ale CSRD sunt dispozițiile privind asigurarea și raportarea informațiilor privind lanțul valoric. Întreprinderile trebuie să publice informațiile privind durabilitatea împreună cu opinia unui auditor statutar sau, dacă statele membre permit acest lucru, a unui prestator independent de servicii de asigurare. Cerința actuală vizează o asigurare limitată, iar CSRD prevede că în viitor aceasta ar putea deveni o cerință de asigurare rezonabilă în anumite condiții</w:t>
      </w:r>
      <w:r w:rsidRPr="00057FB8">
        <w:rPr>
          <w:rStyle w:val="FootnoteReference"/>
          <w:rFonts w:eastAsia="Arial Unicode MS"/>
          <w:noProof/>
          <w:lang w:eastAsia="en-GB"/>
        </w:rPr>
        <w:footnoteReference w:id="15"/>
      </w:r>
      <w:r w:rsidRPr="00057FB8">
        <w:rPr>
          <w:noProof/>
        </w:rPr>
        <w:t xml:space="preserve">. CSRD impune, de asemenea, Comisiei să adopte, prin intermediul unor acte delegate, standarde privind asigurarea durabilității. </w:t>
      </w:r>
    </w:p>
    <w:p w14:paraId="672FFF9C"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 xml:space="preserve">CSRD impune întreprinderilor să raporteze informații privind lanțul valoric în măsura necesară pentru înțelegerea impacturilor, a riscurilor și a oportunităților lor legate de durabilitate. CSRD stabilește un așa-numit plafon al lanțului valoric, care prevede că standardele europene de raportare privind durabilitatea nu pot conține cerințe de raportare care să impună întreprinderilor să obțină de la IMM-urile din lanțul lor valoric informații care depășesc informațiile ce trebuie prezentate în temeiul standardului proporțional pentru IMM-urile cotate la bursă. </w:t>
      </w:r>
    </w:p>
    <w:p w14:paraId="376DF68A" w14:textId="77777777" w:rsidR="00A53DB0" w:rsidRPr="00057FB8" w:rsidRDefault="005E4A88" w:rsidP="00A53DB0">
      <w:pPr>
        <w:pBdr>
          <w:top w:val="nil"/>
          <w:left w:val="nil"/>
          <w:bottom w:val="nil"/>
          <w:right w:val="nil"/>
          <w:between w:val="nil"/>
          <w:bar w:val="nil"/>
        </w:pBdr>
        <w:spacing w:before="0" w:after="240"/>
        <w:rPr>
          <w:noProof/>
        </w:rPr>
      </w:pPr>
      <w:r w:rsidRPr="00057FB8">
        <w:rPr>
          <w:noProof/>
        </w:rPr>
        <w:t>Prezenta propunere urmărește să reducă sarcina de raportare și să limiteze transferul obligațiilor către întreprinderile mai mici. În primul rând, propunerea legislativă separată prezentată de Comisie în paralel cu prezenta propunere ar permite simplificarea cadrului și ar reduce sarcina în următoarele moduri:</w:t>
      </w:r>
    </w:p>
    <w:p w14:paraId="1097D112" w14:textId="4AB6499F" w:rsidR="00A53DB0" w:rsidRPr="00057FB8" w:rsidRDefault="00A53DB0" w:rsidP="00373936">
      <w:pPr>
        <w:pStyle w:val="Tiret0"/>
        <w:numPr>
          <w:ilvl w:val="0"/>
          <w:numId w:val="21"/>
        </w:numPr>
        <w:rPr>
          <w:noProof/>
        </w:rPr>
      </w:pPr>
      <w:r w:rsidRPr="00057FB8">
        <w:rPr>
          <w:noProof/>
        </w:rPr>
        <w:t>numărul întreprinderilor care fac obiectul cerințelor obligatorii de raportare privind durabilitatea ar fi redus cu aproximativ 80 %, excluzând din domeniul de aplicare întreprinderile mari cu până la 1 000 de angajați (adică unele dintre întreprinderile din al doilea val și unele dintre întreprinderile din primul val) și IMM-urile cotate la bursă (adică toate întreprinderile din al treilea val). Cerințele de raportare s-ar aplica numai întreprinderilor mari cu peste 1 000 de angajați în medie (adică întreprinderilor care au peste 1 000 de angajați și fie o cifră de afaceri de peste 50 de milioane EUR, fie un bilanț de peste 25 de milioane EUR). Acest prag revizuit ar alinia mai îndeaproape CSRD la CSDDD</w:t>
      </w:r>
      <w:r w:rsidR="00C37F8F" w:rsidRPr="00057FB8">
        <w:rPr>
          <w:rStyle w:val="FootnoteReference"/>
          <w:rFonts w:eastAsia="Arial Unicode MS"/>
          <w:noProof/>
        </w:rPr>
        <w:footnoteReference w:id="16"/>
      </w:r>
      <w:r w:rsidR="00057FB8">
        <w:rPr>
          <w:noProof/>
        </w:rPr>
        <w:t>;</w:t>
      </w:r>
    </w:p>
    <w:p w14:paraId="2B3C5736" w14:textId="1C06BCAE" w:rsidR="00494487" w:rsidRPr="00057FB8" w:rsidRDefault="00057FB8" w:rsidP="00DD2BEC">
      <w:pPr>
        <w:pStyle w:val="Tiret0"/>
        <w:rPr>
          <w:noProof/>
        </w:rPr>
      </w:pPr>
      <w:r>
        <w:rPr>
          <w:noProof/>
        </w:rPr>
        <w:t>p</w:t>
      </w:r>
      <w:r w:rsidR="00494487" w:rsidRPr="00057FB8">
        <w:rPr>
          <w:noProof/>
        </w:rPr>
        <w:t>entru întreprinderile care nu fac obiectul cerințelor obligatorii de raportare privind durabilitatea, Comisia propune un standard proporțional care să fie utilizat în mod voluntar, bazat pe standardul voluntar pentru IMM-uri elaborat de EFRAG. În conformitate cu această propunere, Comisia ar urma să adopte acest standard voluntar ca act delegat. Între timp, pentru a răspunde cererii de pe piață, Comisia intenționează să emită, cât mai curând posibil, o recomandare privind raportarea voluntară privind durabilitatea, pe baza standardului voluntar pentru IMM-uri elaborat de EFRAG</w:t>
      </w:r>
      <w:r>
        <w:rPr>
          <w:noProof/>
        </w:rPr>
        <w:t>;</w:t>
      </w:r>
    </w:p>
    <w:p w14:paraId="44EA8AE2" w14:textId="05B7F4FC" w:rsidR="00A53DB0" w:rsidRPr="00057FB8" w:rsidRDefault="00057FB8" w:rsidP="00DD2BEC">
      <w:pPr>
        <w:pStyle w:val="Tiret0"/>
        <w:rPr>
          <w:noProof/>
        </w:rPr>
      </w:pPr>
      <w:r>
        <w:rPr>
          <w:noProof/>
        </w:rPr>
        <w:t>p</w:t>
      </w:r>
      <w:r w:rsidR="00A53DB0" w:rsidRPr="00057FB8">
        <w:rPr>
          <w:noProof/>
        </w:rPr>
        <w:t>lafonul lanțului valoric ar urma să fie extins și consolidat. Acesta ar urma să se aplice direct întreprinderii raportoare, în loc să fie doar o limită a ceea ce pot specifica standardele europene de raportare privind durabilitatea. Plafonul respectiv ar proteja toate întreprinderile cu până la 1 000 de angajați, și nu doar IMM-urile, cum este cazul în prezent, iar limita ar urma să fie definită de standardul voluntar adoptat de Comisie ca act delegat, bazat pe standardul voluntar pentru IMM-uri elaborat de EFRAG. Acest lucru va reduce în mod substanțial efectul de transfer al obligațiilor</w:t>
      </w:r>
      <w:r>
        <w:rPr>
          <w:noProof/>
        </w:rPr>
        <w:t>;</w:t>
      </w:r>
    </w:p>
    <w:p w14:paraId="74DED8E4" w14:textId="14D17C98" w:rsidR="00A53DB0" w:rsidRPr="00057FB8" w:rsidRDefault="00057FB8" w:rsidP="00DD2BEC">
      <w:pPr>
        <w:pStyle w:val="Tiret0"/>
        <w:rPr>
          <w:noProof/>
        </w:rPr>
      </w:pPr>
      <w:r>
        <w:rPr>
          <w:noProof/>
        </w:rPr>
        <w:t>n</w:t>
      </w:r>
      <w:r w:rsidR="00A53DB0" w:rsidRPr="00057FB8">
        <w:rPr>
          <w:noProof/>
        </w:rPr>
        <w:t>u ar exista standarde de raportare sectoriale, evitându-se astfel o creștere a numărului de puncte de date prescrise pe care ar trebui să le raporteze întreprinderile</w:t>
      </w:r>
      <w:r>
        <w:rPr>
          <w:noProof/>
        </w:rPr>
        <w:t>;</w:t>
      </w:r>
    </w:p>
    <w:p w14:paraId="24338609" w14:textId="6B36241F" w:rsidR="00A53DB0" w:rsidRPr="00057FB8" w:rsidRDefault="00057FB8" w:rsidP="00DD2BEC">
      <w:pPr>
        <w:pStyle w:val="Tiret0"/>
        <w:rPr>
          <w:noProof/>
        </w:rPr>
      </w:pPr>
      <w:r>
        <w:rPr>
          <w:noProof/>
        </w:rPr>
        <w:t>p</w:t>
      </w:r>
      <w:r w:rsidR="00A53DB0" w:rsidRPr="00057FB8">
        <w:rPr>
          <w:noProof/>
        </w:rPr>
        <w:t>osibilitatea de a trece de la o cerință de asigurare limitată la o cerință de asigurare rezonabilă ar fi eliminată. Acest lucru va clarifica faptul că nu va exista nicio creștere viitoare a costurilor de asigurare pentru întreprinderile vizate</w:t>
      </w:r>
      <w:r w:rsidR="00365BD0">
        <w:rPr>
          <w:noProof/>
        </w:rPr>
        <w:t>;</w:t>
      </w:r>
    </w:p>
    <w:p w14:paraId="67A9CDA0" w14:textId="281ED7B2" w:rsidR="00557418" w:rsidRPr="00057FB8" w:rsidRDefault="00D82A0E" w:rsidP="00DD2BEC">
      <w:pPr>
        <w:pStyle w:val="Tiret0"/>
        <w:rPr>
          <w:noProof/>
        </w:rPr>
      </w:pPr>
      <w:r>
        <w:rPr>
          <w:noProof/>
        </w:rPr>
        <w:t>î</w:t>
      </w:r>
      <w:r w:rsidR="00120567" w:rsidRPr="00057FB8">
        <w:rPr>
          <w:noProof/>
        </w:rPr>
        <w:t>n locul obligației Comisiei de a adopta standarde privind asigurarea durabilității până în 2026, Comisia va emite orientări specifice în materie de asigurare până în 2026. Acest lucru va permite Comisiei să abordeze mai rapid problemele emergente în domeniul asigurării durabilității care ar putea genera sarcini inutile pentru întreprinderile care fac obiectul cerințelor de raportare</w:t>
      </w:r>
      <w:r>
        <w:rPr>
          <w:noProof/>
        </w:rPr>
        <w:t>;</w:t>
      </w:r>
    </w:p>
    <w:p w14:paraId="78426277" w14:textId="01AB420F" w:rsidR="00A53DB0" w:rsidRPr="00057FB8" w:rsidRDefault="00D82A0E" w:rsidP="00DD2BEC">
      <w:pPr>
        <w:pStyle w:val="Tiret0"/>
        <w:rPr>
          <w:noProof/>
        </w:rPr>
      </w:pPr>
      <w:r>
        <w:rPr>
          <w:noProof/>
        </w:rPr>
        <w:t>p</w:t>
      </w:r>
      <w:r w:rsidR="42A06590" w:rsidRPr="00057FB8">
        <w:rPr>
          <w:noProof/>
        </w:rPr>
        <w:t>ropunerea introduce un regim de participare voluntară prin care întreprinderile mari cu peste 1 000 de angajați în medie (adică întreprinderile care au peste 1 000 de angajați și fie o cifră de afaceri de peste 50 de milioane EUR, fie un bilanț de peste 25 de milioane EUR) și o cifră de afaceri netă de maximum 450 de milioane EUR care susțin că activitățile lor sunt aliniate sau parțial aliniate la taxonomia UE trebuie să își prezinte indicatorii-cheie de performanță privind cifra de afaceri și cheltuielile de capital și pot alege să își prezinte indicatorii-cheie de performanță privind cheltuielile de funcționare. Această abordare de participare voluntară va elimina integral costul de conformare cu normele de raportare privind taxonomia pentru întreprinderile mari cu peste 1 000 de angajați în medie (adică întreprinderile care au peste 1 000 de angajați și fie o cifră de afaceri de peste 50 de milioane EUR, fie un bilanț de peste 25 de milioane EUR) și o cifră de afaceri netă de maximum 450 de milioane EUR care nu susțin că activitățile lor sunt asociate cu activități economice care se califică drept durabile din punctul de vedere al mediului în temeiul Regulamentului privind taxonomia. În plus, această propunere oferă mai multă flexibilitate, permițând întreprinderilor respective să raporteze informații referitoare la activitățile care îndeplinesc anumite criterii tehnice de examinare prevăzute în taxonomie, dar nu pe toate. O astfel de raportare cu privire la alinierea parțială poate promova o tranziție ecologică treptată a activităților în timp, în concordanță cu obiectivul de a extinde finanțarea tranziției.</w:t>
      </w:r>
    </w:p>
    <w:p w14:paraId="25C86C4A"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 xml:space="preserve">În al doilea rând, Comisia intenționează să adopte fără întârziere un act delegat pentru a revizui primul set de standarde europene de raportare privind durabilitatea. Pentru a realiza rapid simplificarea și raționalizarea standardelor europene de raportare privind durabilitatea și pentru a oferi claritate și securitate juridică întreprinderilor, Comisia urmărește să adopte actul delegat necesar cât mai curând posibil și în termen de cel mult șase luni de la intrarea în vigoare a directivei, în vederea simplificării cadrului de raportare care face obiectul propunerii legislative separate menționate mai sus. Revizuirea actului delegat va reduce substanțial numărul punctelor de date obligatorii din standardele europene de raportare privind durabilitatea prin (i) eliminarea punctelor de date considerate cel mai puțin importante pentru raportarea cu scop general privind durabilitatea, (ii) acordarea de prioritate punctelor de date cantitative în detrimentul textului descriptiv și (iii) realizarea unei distincții suplimentare între punctele de date obligatorii și cele voluntare, fără a submina interoperabilitatea cu standardele globale de raportare și fără a aduce atingere evaluării semnificației fiecărei întreprinderi. Revizuirea va clarifica dispozițiile considerate neclare, va îmbunătăți coerența cu alte acte legislative ale UE și va oferi instrucțiuni mai clare cu privire la modul de aplicare a principiului pragului de semnificație, pentru a asigura faptul că întreprinderile raportează numai informații semnificative și pentru a reduce riscul ca prestatorii de servicii de asigurare să încurajeze din greșeală întreprinderile să raporteze informații care nu sunt necesare sau să aloce resurse excesive procesului de evaluare a semnificației. Revizuirea va simplifica structura și prezentarea standardelor și va consolida și mai mult gradul deja foarte ridicat de interoperabilitate cu standardele globale de raportare privind durabilitatea. De asemenea, Comisia va efectua orice alte modificări care ar putea fi considerate necesare, având în vedere experiența primei aplicări a standardelor europene de raportare privind durabilitatea. </w:t>
      </w:r>
    </w:p>
    <w:p w14:paraId="14EF0C81"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În al treilea rând, prezenta propunere ar amâna cu doi ani aplicarea cerințelor de raportare pentru al doilea val (întreprinderile mari care nu sunt entități de interes public și care au peste 500 de angajați, precum și întreprinderile mari cu mai puțin de 500 de angajați</w:t>
      </w:r>
      <w:r w:rsidR="00A957BF" w:rsidRPr="00057FB8">
        <w:rPr>
          <w:rStyle w:val="FootnoteReference"/>
          <w:rFonts w:eastAsia="Arial Unicode MS"/>
          <w:noProof/>
          <w:lang w:eastAsia="en-GB"/>
        </w:rPr>
        <w:footnoteReference w:id="17"/>
      </w:r>
      <w:r w:rsidRPr="00057FB8">
        <w:rPr>
          <w:noProof/>
        </w:rPr>
        <w:t>) și al treilea val (IMM-uri cotate la bursă, instituții de credit mici și cu un grad redus de complexitate și întreprinderi de asigurare și de reasigurare captive). Obiectivul amânării este de a evita ca anumite întreprinderi să fie obligate să raporteze pentru exercițiul financiar 2025 (al doilea val) sau 2026 (al treilea val) și apoi să fie scutite de această obligație. Într-o astfel de situație, întreprinderile în cauză ar trebui să suporte costuri inutile și evitabile.</w:t>
      </w:r>
    </w:p>
    <w:p w14:paraId="31BF7E7D" w14:textId="77777777" w:rsidR="00A53DB0" w:rsidRPr="00057FB8" w:rsidRDefault="00A53DB0" w:rsidP="00A53DB0">
      <w:pPr>
        <w:pBdr>
          <w:top w:val="nil"/>
          <w:left w:val="nil"/>
          <w:bottom w:val="nil"/>
          <w:right w:val="nil"/>
          <w:between w:val="nil"/>
          <w:bar w:val="nil"/>
        </w:pBdr>
        <w:spacing w:before="0" w:after="240"/>
        <w:rPr>
          <w:noProof/>
        </w:rPr>
      </w:pPr>
      <w:r w:rsidRPr="00057FB8">
        <w:rPr>
          <w:noProof/>
        </w:rPr>
        <w:t xml:space="preserve">Comisia invită colegiuitorii să ajungă rapid la un acord cu privire la amânarea propusă, în special pentru a oferi claritatea juridică necesară întreprinderilor din al doilea val care trebuie în prezent să raporteze pentru prima dată în 2026 pentru exercițiul financiar 2025. </w:t>
      </w:r>
    </w:p>
    <w:p w14:paraId="1A646225" w14:textId="77777777" w:rsidR="00A53DB0" w:rsidRPr="00057FB8" w:rsidRDefault="00A53DB0" w:rsidP="00A53DB0">
      <w:pPr>
        <w:pBdr>
          <w:top w:val="nil"/>
          <w:left w:val="nil"/>
          <w:bottom w:val="nil"/>
          <w:right w:val="nil"/>
          <w:between w:val="nil"/>
          <w:bar w:val="nil"/>
        </w:pBdr>
        <w:spacing w:before="0" w:after="240"/>
        <w:rPr>
          <w:noProof/>
          <w:u w:val="single"/>
        </w:rPr>
      </w:pPr>
      <w:r w:rsidRPr="00057FB8">
        <w:rPr>
          <w:noProof/>
          <w:u w:val="single"/>
        </w:rPr>
        <w:t>Contextul specific și obiectivele prezentei propuneri în ceea ce privește CSDDD</w:t>
      </w:r>
    </w:p>
    <w:p w14:paraId="1815EC07" w14:textId="6AABC280" w:rsidR="00DD6F15" w:rsidRPr="00057FB8" w:rsidRDefault="00A427AE" w:rsidP="00977655">
      <w:pPr>
        <w:pBdr>
          <w:top w:val="nil"/>
          <w:left w:val="nil"/>
          <w:bottom w:val="nil"/>
          <w:right w:val="nil"/>
          <w:between w:val="nil"/>
          <w:bar w:val="nil"/>
        </w:pBdr>
        <w:spacing w:before="0" w:after="240"/>
        <w:rPr>
          <w:noProof/>
        </w:rPr>
      </w:pPr>
      <w:r w:rsidRPr="00057FB8">
        <w:rPr>
          <w:noProof/>
        </w:rPr>
        <w:t>În conformitate cu normele actuale, statele membre ar trebui să transpună CSDDD până la 26</w:t>
      </w:r>
      <w:r w:rsidR="00741D62">
        <w:rPr>
          <w:noProof/>
        </w:rPr>
        <w:t> </w:t>
      </w:r>
      <w:r w:rsidRPr="00057FB8">
        <w:rPr>
          <w:noProof/>
        </w:rPr>
        <w:t xml:space="preserve">iulie 2026. Intrarea în vigoare este prevăzută în trei etape: începând din iulie 2027, normele ar începe să se aplice numai celor mai mari întreprinderi din UE, și anume celor care au peste 5 000 de angajați și care raportează o cifră de afaceri anuală netă (la nivel mondial) de peste 1,5 miliarde EUR, precum și întreprinderilor din afara UE care generează în UE o cifră de afaceri netă de peste 1,5 miliarde EUR. În al doilea val, ar trebui să respecte noul cadru, începând din iulie 2028, întreprinderile din UE cu peste 3 000 de angajați și o cifră de afaceri netă de peste 900 de milioane EUR, precum și întreprinderile din afara UE care generează o astfel de cifră de afaceri netă în UE. În cele din urmă, în iulie 2029 ar trebui să înceapă să aplice directiva (normele naționale de transpunere a acesteia) toate celelalte întreprinderi care intră în domeniul general de aplicare. Începând cu această dată, se estimează că CSDDD se va aplica unui număr de aproximativ 6 000 de întreprinderi mari din UE și unui număr de aproximativ 900 de întreprinderi din afara UE. Domeniul de aplicare personalizat și aplicarea treptată țin seama de faptul că întreprinderile de dimensiuni diferite au capacități diferite de punere în aplicare a noului cadru obligatoriu și, ca atare, reprezintă elemente-cheie pentru asigurarea unei abordări proporționale. </w:t>
      </w:r>
    </w:p>
    <w:p w14:paraId="1C0C8011" w14:textId="77777777" w:rsidR="00E12051" w:rsidRPr="00057FB8" w:rsidRDefault="00E631F3" w:rsidP="00A53DB0">
      <w:pPr>
        <w:pBdr>
          <w:top w:val="nil"/>
          <w:left w:val="nil"/>
          <w:bottom w:val="nil"/>
          <w:right w:val="nil"/>
          <w:between w:val="nil"/>
          <w:bar w:val="nil"/>
        </w:pBdr>
        <w:spacing w:before="0" w:after="240"/>
        <w:rPr>
          <w:noProof/>
        </w:rPr>
      </w:pPr>
      <w:r w:rsidRPr="00057FB8">
        <w:rPr>
          <w:noProof/>
        </w:rPr>
        <w:t>În plus, propunerea legislativă separată prezentată de Comisie în paralel cu prezenta propunere ar permite simplificarea cadrului și ar reduce sarcina întreprinderilor în mai multe moduri. Prezenta propunere ar amâna cu un an prima etapă a aplicării directivei. Obiectivul amânării este de a oferi primului grup de întreprinderi mai mult timp ca să se pregătească pentru obligațiile care le revin în temeiul directivei, în forma sa modificată, ținând seama, totodată, de orientările pe care Comisia le va fi adoptat în conformitate cu calendarul mai strict stabilit în propunerea paralelă de simplificare.</w:t>
      </w:r>
    </w:p>
    <w:p w14:paraId="2699D682" w14:textId="77777777" w:rsidR="00480F54" w:rsidRPr="00057FB8" w:rsidRDefault="00E12051" w:rsidP="0094068A">
      <w:pPr>
        <w:pBdr>
          <w:top w:val="nil"/>
          <w:left w:val="nil"/>
          <w:bottom w:val="nil"/>
          <w:right w:val="nil"/>
          <w:between w:val="nil"/>
          <w:bar w:val="nil"/>
        </w:pBdr>
        <w:spacing w:before="0" w:after="240"/>
        <w:rPr>
          <w:noProof/>
        </w:rPr>
      </w:pPr>
      <w:r w:rsidRPr="00057FB8">
        <w:rPr>
          <w:noProof/>
        </w:rPr>
        <w:t>În plus, prezenta propunere ar amâna cu un an termenul de transpunere pentru statele membre, pentru a ține seama de posibilele întârzieri în eforturile lor de transpunere în curs a CSDDD, ca urmare a posibilelor modificări aduse directivei prin propunerea paralelă de simplificare.</w:t>
      </w:r>
    </w:p>
    <w:p w14:paraId="76C6F3E4" w14:textId="77777777" w:rsidR="006C7F87" w:rsidRPr="00057FB8" w:rsidRDefault="006C7F87" w:rsidP="0094068A">
      <w:pPr>
        <w:pStyle w:val="ManualHeading2"/>
        <w:rPr>
          <w:rFonts w:eastAsia="Arial Unicode MS"/>
          <w:noProof/>
          <w:color w:val="000000"/>
          <w:u w:color="000000"/>
          <w:bdr w:val="nil"/>
        </w:rPr>
      </w:pPr>
      <w:r w:rsidRPr="00057FB8">
        <w:rPr>
          <w:noProof/>
          <w:color w:val="000000"/>
          <w:u w:color="000000"/>
          <w:bdr w:val="nil"/>
        </w:rPr>
        <w:t>•</w:t>
      </w:r>
      <w:r w:rsidRPr="00057FB8">
        <w:rPr>
          <w:noProof/>
          <w:color w:val="000000"/>
          <w:u w:color="000000"/>
          <w:bdr w:val="nil"/>
        </w:rPr>
        <w:tab/>
      </w:r>
      <w:r w:rsidRPr="00057FB8">
        <w:rPr>
          <w:noProof/>
        </w:rPr>
        <w:t>Coerența cu dispozițiile existente în domeniul de politică vizat</w:t>
      </w:r>
    </w:p>
    <w:p w14:paraId="49877AA6" w14:textId="77777777" w:rsidR="00F763CA" w:rsidRPr="00057FB8" w:rsidRDefault="00F763CA" w:rsidP="00F763CA">
      <w:pPr>
        <w:pBdr>
          <w:top w:val="nil"/>
          <w:left w:val="nil"/>
          <w:bottom w:val="nil"/>
          <w:right w:val="nil"/>
          <w:between w:val="nil"/>
          <w:bar w:val="nil"/>
        </w:pBdr>
        <w:spacing w:before="0" w:after="240"/>
        <w:rPr>
          <w:rFonts w:eastAsia="Arial Unicode MS"/>
          <w:noProof/>
        </w:rPr>
      </w:pPr>
      <w:r w:rsidRPr="00057FB8">
        <w:rPr>
          <w:noProof/>
        </w:rPr>
        <w:t>Întreprinderile care fac obiectul cerințelor de raportare prevăzute în CSRD sunt, de asemenea, obligate automat să raporteze anumiți indicatori în temeiul articolului 8 din Regulamentul privind taxonomia. Prin urmare, prin amânarea aplicării cerințelor de raportare pentru întreprinderile din al doilea și al treilea val, prezenta propunere ar amâna automat și data până la care astfel de întreprinderi trebuie să raporteze indicatorii respectivi în temeiul Regulamentului privind taxonomia.</w:t>
      </w:r>
    </w:p>
    <w:p w14:paraId="6D78FFDA" w14:textId="5A880823" w:rsidR="00F763CA" w:rsidRPr="00057FB8" w:rsidRDefault="00F763CA" w:rsidP="00F763CA">
      <w:pPr>
        <w:pBdr>
          <w:top w:val="nil"/>
          <w:left w:val="nil"/>
          <w:bottom w:val="nil"/>
          <w:right w:val="nil"/>
          <w:between w:val="nil"/>
          <w:bar w:val="nil"/>
        </w:pBdr>
        <w:spacing w:before="0" w:after="240"/>
        <w:rPr>
          <w:rFonts w:eastAsia="Arial Unicode MS"/>
          <w:noProof/>
        </w:rPr>
      </w:pPr>
      <w:r w:rsidRPr="00057FB8">
        <w:rPr>
          <w:noProof/>
        </w:rPr>
        <w:t>Cerințele de raportare prevăzute în CSRD și ESRS urmăresc să asigure, printre altele, că participanții la piața financiară, instituțiile de credit și administratorii de indici de referință au acces la informațiile privind durabilitatea de care au nevoie din partea întreprinderilor pentru a-și îndeplini propriile obligații de raportare prevăzute în Regulamentul privind prezentarea de informații referitoare la finanțarea durabilă, în Regulamentul privind cerințele de capital și în Regulamentul privind indicii de referință. Amânarea propusă va întârzia îmbunătățirea disponibilității informațiilor pentru participanții la piața financiară, instituțiile de credit și administratorii de indici de referință.</w:t>
      </w:r>
      <w:r w:rsidR="00741D62">
        <w:rPr>
          <w:noProof/>
        </w:rPr>
        <w:t xml:space="preserve"> </w:t>
      </w:r>
    </w:p>
    <w:p w14:paraId="55FC4E52" w14:textId="77777777" w:rsidR="00F763CA" w:rsidRPr="00057FB8" w:rsidRDefault="00F763CA" w:rsidP="0094068A">
      <w:pPr>
        <w:pBdr>
          <w:top w:val="nil"/>
          <w:left w:val="nil"/>
          <w:bottom w:val="nil"/>
          <w:right w:val="nil"/>
          <w:between w:val="nil"/>
          <w:bar w:val="nil"/>
        </w:pBdr>
        <w:spacing w:before="0" w:after="240"/>
        <w:rPr>
          <w:rFonts w:eastAsia="Arial Unicode MS"/>
          <w:noProof/>
        </w:rPr>
      </w:pPr>
      <w:r w:rsidRPr="00057FB8">
        <w:rPr>
          <w:noProof/>
        </w:rPr>
        <w:t xml:space="preserve">Întreprinderile care intră atât sub incidența CSRD, cât și a CSDDD nu sunt obligate de CSDDD să raporteze nicio informație suplimentară față de cele pe care sunt obligate să le raporteze în temeiul CSRD. Întrucât prezenta propunere amână măsurile prevăzute în CSDDD, precum și data aplicării cerințelor de raportare pentru anumite întreprinderi prevăzută în CSRD, se menține coerența dintre aceste două acte legislative. </w:t>
      </w:r>
    </w:p>
    <w:p w14:paraId="4B559101" w14:textId="77777777" w:rsidR="006C7F87" w:rsidRPr="00057FB8" w:rsidRDefault="006C7F87" w:rsidP="0094068A">
      <w:pPr>
        <w:pStyle w:val="ManualHeading2"/>
        <w:rPr>
          <w:rFonts w:eastAsia="Arial Unicode MS"/>
          <w:noProof/>
        </w:rPr>
      </w:pPr>
      <w:r w:rsidRPr="00057FB8">
        <w:rPr>
          <w:noProof/>
          <w:color w:val="000000"/>
          <w:u w:color="000000"/>
          <w:bdr w:val="nil"/>
        </w:rPr>
        <w:t>•</w:t>
      </w:r>
      <w:r w:rsidRPr="00057FB8">
        <w:rPr>
          <w:noProof/>
          <w:color w:val="000000"/>
          <w:u w:color="000000"/>
          <w:bdr w:val="nil"/>
        </w:rPr>
        <w:tab/>
      </w:r>
      <w:r w:rsidRPr="00057FB8">
        <w:rPr>
          <w:noProof/>
        </w:rPr>
        <w:t>Coerența cu alte politici ale Uniunii</w:t>
      </w:r>
    </w:p>
    <w:p w14:paraId="2CA8BED0" w14:textId="77777777" w:rsidR="00B8576D" w:rsidRPr="00057FB8" w:rsidRDefault="00B8576D" w:rsidP="00B8576D">
      <w:pPr>
        <w:pBdr>
          <w:top w:val="nil"/>
          <w:left w:val="nil"/>
          <w:bottom w:val="nil"/>
          <w:right w:val="nil"/>
          <w:between w:val="nil"/>
          <w:bar w:val="nil"/>
        </w:pBdr>
        <w:spacing w:before="0" w:after="240"/>
        <w:rPr>
          <w:rFonts w:eastAsia="Arial Unicode MS"/>
          <w:noProof/>
        </w:rPr>
      </w:pPr>
      <w:r w:rsidRPr="00057FB8">
        <w:rPr>
          <w:noProof/>
        </w:rPr>
        <w:t xml:space="preserve">Prezenta propunere este coerentă cu politica UE de sporire a competitivității, de simplificare a cadrului de reglementare și de reducere a sarcinii întreprinderilor, îndeplinind în același timp obiectivele de politică ale CSRD și ale CSDDD. Acest lucru include menținerea Pactului verde, deoarece competitivitatea pe termen mediu și lung depinde de integrarea suficientă de către întreprinderi a considerentelor de durabilitate în operațiunile lor. </w:t>
      </w:r>
    </w:p>
    <w:p w14:paraId="60ACF72B" w14:textId="77777777" w:rsidR="006C7F87" w:rsidRPr="00057FB8" w:rsidRDefault="006C7F87" w:rsidP="0094068A">
      <w:pPr>
        <w:pStyle w:val="ManualHeading1"/>
        <w:rPr>
          <w:noProof/>
        </w:rPr>
      </w:pPr>
      <w:r w:rsidRPr="00057FB8">
        <w:rPr>
          <w:noProof/>
        </w:rPr>
        <w:t>2.</w:t>
      </w:r>
      <w:r w:rsidRPr="00057FB8">
        <w:rPr>
          <w:noProof/>
        </w:rPr>
        <w:tab/>
        <w:t>TEMEI JURIDIC, SUBSIDIARITATE ȘI PROPORȚIONALITATE</w:t>
      </w:r>
    </w:p>
    <w:p w14:paraId="66932301"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Temeiul juridic</w:t>
      </w:r>
    </w:p>
    <w:p w14:paraId="35B2DD44" w14:textId="77777777" w:rsidR="006C7F87" w:rsidRPr="00057FB8" w:rsidRDefault="009C089C" w:rsidP="0094068A">
      <w:pPr>
        <w:pBdr>
          <w:top w:val="nil"/>
          <w:left w:val="nil"/>
          <w:bottom w:val="nil"/>
          <w:right w:val="nil"/>
          <w:between w:val="nil"/>
          <w:bar w:val="nil"/>
        </w:pBdr>
        <w:spacing w:before="0" w:after="240"/>
        <w:rPr>
          <w:rFonts w:eastAsia="Arial Unicode MS"/>
          <w:noProof/>
        </w:rPr>
      </w:pPr>
      <w:r w:rsidRPr="00057FB8">
        <w:rPr>
          <w:noProof/>
        </w:rPr>
        <w:t>Temeiul juridic al propunerii îl reprezintă articolele 50 și 114 din Tratatul privind funcționarea Uniunii Europene (TFUE). Articolul 50 din TFUE reprezintă temeiul juridic pentru adoptarea măsurilor UE care vizează realizarea dreptului de stabilire pe piața unică în domeniul dreptului societăților și împuternicește Parlamentul European și Consiliul să decidă prin intermediul directivelor. Articolul 114 din TFUE este un temei juridic general cu obiectivul de a institui sau de a asigura funcționarea pieței unice – în cazul de față, a liberei circulații a capitalurilor. Articolele 50 și 114 din TFUE constituie temeiul juridic al Directivei (UE) 2022/2464 și al Directivei (UE) 2024/1760.</w:t>
      </w:r>
    </w:p>
    <w:p w14:paraId="29DF55DE"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 xml:space="preserve">Subsidiaritatea (în cazul competențelor neexclusive) </w:t>
      </w:r>
    </w:p>
    <w:p w14:paraId="77EDE928" w14:textId="77777777" w:rsidR="006C7F87" w:rsidRPr="00057FB8" w:rsidRDefault="000515FD" w:rsidP="0094068A">
      <w:pPr>
        <w:pBdr>
          <w:top w:val="nil"/>
          <w:left w:val="nil"/>
          <w:bottom w:val="nil"/>
          <w:right w:val="nil"/>
          <w:between w:val="nil"/>
          <w:bar w:val="nil"/>
        </w:pBdr>
        <w:spacing w:before="0" w:after="240"/>
        <w:rPr>
          <w:rFonts w:eastAsia="Arial Unicode MS"/>
          <w:noProof/>
        </w:rPr>
      </w:pPr>
      <w:r w:rsidRPr="00057FB8">
        <w:rPr>
          <w:noProof/>
        </w:rPr>
        <w:t xml:space="preserve">Prezenta propunere modifică </w:t>
      </w:r>
      <w:bookmarkStart w:id="1" w:name="_Hlk189940979"/>
      <w:r w:rsidRPr="00057FB8">
        <w:rPr>
          <w:noProof/>
        </w:rPr>
        <w:t>datele de aplicare a anumitor dispoziții ale dreptului UE</w:t>
      </w:r>
      <w:bookmarkEnd w:id="1"/>
      <w:r w:rsidRPr="00057FB8">
        <w:rPr>
          <w:noProof/>
        </w:rPr>
        <w:t xml:space="preserve">. Aceste date pot fi modificate numai prin acțiuni la nivelul UE. </w:t>
      </w:r>
    </w:p>
    <w:p w14:paraId="7D16969E"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Proporționalitatea</w:t>
      </w:r>
    </w:p>
    <w:p w14:paraId="669D2B99" w14:textId="1DC3F930" w:rsidR="006C7F87" w:rsidRPr="00057FB8" w:rsidRDefault="00A67FB0" w:rsidP="0094068A">
      <w:pPr>
        <w:pBdr>
          <w:top w:val="nil"/>
          <w:left w:val="nil"/>
          <w:bottom w:val="nil"/>
          <w:right w:val="nil"/>
          <w:between w:val="nil"/>
          <w:bar w:val="nil"/>
        </w:pBdr>
        <w:spacing w:before="0" w:after="240"/>
        <w:rPr>
          <w:rFonts w:eastAsia="Arial Unicode MS"/>
          <w:noProof/>
        </w:rPr>
      </w:pPr>
      <w:r w:rsidRPr="00057FB8">
        <w:rPr>
          <w:noProof/>
        </w:rPr>
        <w:t>Obiectivul de politică este de a amâna datele de aplicare a anumitor dispoziții ale dreptului Uniunii. Singura modalitate de realizare a acestui obiectiv este o propunere de modificare a datelor respective.</w:t>
      </w:r>
      <w:r w:rsidR="00741D62">
        <w:rPr>
          <w:noProof/>
        </w:rPr>
        <w:t xml:space="preserve"> </w:t>
      </w:r>
    </w:p>
    <w:p w14:paraId="369E84B1"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Alegerea instrumentului</w:t>
      </w:r>
    </w:p>
    <w:p w14:paraId="7A555AA8" w14:textId="77777777" w:rsidR="006C7F87" w:rsidRPr="00057FB8" w:rsidRDefault="00327AFF" w:rsidP="0094068A">
      <w:pPr>
        <w:pBdr>
          <w:top w:val="nil"/>
          <w:left w:val="nil"/>
          <w:bottom w:val="nil"/>
          <w:right w:val="nil"/>
          <w:between w:val="nil"/>
          <w:bar w:val="nil"/>
        </w:pBdr>
        <w:spacing w:before="0" w:after="240"/>
        <w:rPr>
          <w:rFonts w:eastAsia="Arial Unicode MS"/>
          <w:noProof/>
        </w:rPr>
      </w:pPr>
      <w:r w:rsidRPr="00057FB8">
        <w:rPr>
          <w:noProof/>
        </w:rPr>
        <w:t>Prezenta propunere constă într-o directivă care modifică dispozițiile Directivei referitoare la raportarea privind durabilitatea de către întreprinderi (CSRD) și ale Directivei privind diligența necesară în materie de durabilitate a întreprinderilor (CSDDD). Se consideră că o directivă omnibus este instrumentul juridic cel mai adecvat pentru modificarea directivelor existente în ceea ce privește simplificarea și reducerea sarcinii în domeniile raportării privind durabilitatea și diligenței necesare.</w:t>
      </w:r>
    </w:p>
    <w:p w14:paraId="3783CF80" w14:textId="77777777" w:rsidR="006C7F87" w:rsidRPr="00057FB8" w:rsidRDefault="006C7F87" w:rsidP="0094068A">
      <w:pPr>
        <w:pStyle w:val="ManualHeading1"/>
        <w:rPr>
          <w:noProof/>
        </w:rPr>
      </w:pPr>
      <w:r w:rsidRPr="00057FB8">
        <w:rPr>
          <w:noProof/>
        </w:rPr>
        <w:t>3.</w:t>
      </w:r>
      <w:r w:rsidRPr="00057FB8">
        <w:rPr>
          <w:noProof/>
        </w:rPr>
        <w:tab/>
        <w:t xml:space="preserve">REZULTATELE EVALUĂRILOR </w:t>
      </w:r>
      <w:r w:rsidRPr="00057FB8">
        <w:rPr>
          <w:i/>
          <w:noProof/>
        </w:rPr>
        <w:t>EX POST</w:t>
      </w:r>
      <w:r w:rsidRPr="00057FB8">
        <w:rPr>
          <w:noProof/>
        </w:rPr>
        <w:t>, ALE CONSULTĂRILOR CU PĂRȚILE INTERESATE ȘI ALE EVALUĂRILOR IMPACTULUI</w:t>
      </w:r>
    </w:p>
    <w:p w14:paraId="56BC2DB3"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 xml:space="preserve">Evaluările </w:t>
      </w:r>
      <w:r w:rsidRPr="00057FB8">
        <w:rPr>
          <w:i/>
          <w:noProof/>
          <w:u w:color="000000"/>
          <w:bdr w:val="nil"/>
        </w:rPr>
        <w:t>ex post</w:t>
      </w:r>
      <w:r w:rsidRPr="00057FB8">
        <w:rPr>
          <w:noProof/>
          <w:u w:color="000000"/>
          <w:bdr w:val="nil"/>
        </w:rPr>
        <w:t>/verificarea adecvării legislației existente</w:t>
      </w:r>
    </w:p>
    <w:p w14:paraId="0C3221D1" w14:textId="3BF4E0A9" w:rsidR="00D03258" w:rsidRPr="00057FB8" w:rsidRDefault="00D03258" w:rsidP="00D03258">
      <w:pPr>
        <w:pBdr>
          <w:top w:val="nil"/>
          <w:left w:val="nil"/>
          <w:bottom w:val="nil"/>
          <w:right w:val="nil"/>
          <w:between w:val="nil"/>
          <w:bar w:val="nil"/>
        </w:pBdr>
        <w:spacing w:before="0" w:after="240"/>
        <w:rPr>
          <w:rFonts w:eastAsia="Arial Unicode MS"/>
          <w:noProof/>
        </w:rPr>
      </w:pPr>
      <w:r w:rsidRPr="00057FB8">
        <w:rPr>
          <w:noProof/>
        </w:rPr>
        <w:t xml:space="preserve">CSDDD nu a fost încă transpusă sau aplicată de întreprinderi. CSRD a fost aplicată de un prim set de întreprinderi care își publică primele declarații privind durabilitatea, în principal în prima jumătate a anului 2025. Prin urmare, nu a fost posibil să se efectueze o evaluare </w:t>
      </w:r>
      <w:r w:rsidRPr="00057FB8">
        <w:rPr>
          <w:i/>
          <w:noProof/>
        </w:rPr>
        <w:t>ex post</w:t>
      </w:r>
      <w:r w:rsidRPr="00057FB8">
        <w:rPr>
          <w:noProof/>
        </w:rPr>
        <w:t xml:space="preserve"> sau o verificare a adecvării niciunuia dintre actele legislative.</w:t>
      </w:r>
      <w:r w:rsidR="00741D62">
        <w:rPr>
          <w:noProof/>
        </w:rPr>
        <w:t xml:space="preserve"> </w:t>
      </w:r>
    </w:p>
    <w:p w14:paraId="7A481714"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Consultările cu părțile interesate</w:t>
      </w:r>
    </w:p>
    <w:p w14:paraId="3AAA5766" w14:textId="77777777" w:rsidR="001275AC" w:rsidRPr="00057FB8" w:rsidRDefault="001275AC" w:rsidP="001275AC">
      <w:pPr>
        <w:pBdr>
          <w:top w:val="nil"/>
          <w:left w:val="nil"/>
          <w:bottom w:val="nil"/>
          <w:right w:val="nil"/>
          <w:between w:val="nil"/>
          <w:bar w:val="nil"/>
        </w:pBdr>
        <w:spacing w:before="0" w:after="240"/>
        <w:rPr>
          <w:noProof/>
        </w:rPr>
      </w:pPr>
      <w:r w:rsidRPr="00057FB8">
        <w:rPr>
          <w:noProof/>
        </w:rPr>
        <w:t xml:space="preserve">Următoarele activități de consultare au contribuit la conturarea conținutului prezentei propuneri. </w:t>
      </w:r>
    </w:p>
    <w:p w14:paraId="33E7A4B8" w14:textId="77777777" w:rsidR="001275AC" w:rsidRPr="00057FB8" w:rsidRDefault="001275AC" w:rsidP="000B7904">
      <w:pPr>
        <w:pStyle w:val="paragraph"/>
        <w:numPr>
          <w:ilvl w:val="0"/>
          <w:numId w:val="17"/>
        </w:numPr>
        <w:spacing w:before="0" w:beforeAutospacing="0" w:after="0" w:afterAutospacing="0"/>
        <w:jc w:val="both"/>
        <w:textAlignment w:val="baseline"/>
        <w:rPr>
          <w:rStyle w:val="normaltextrun"/>
          <w:rFonts w:ascii="Segoe UI" w:hAnsi="Segoe UI" w:cs="Segoe UI"/>
          <w:noProof/>
          <w:sz w:val="18"/>
          <w:szCs w:val="18"/>
        </w:rPr>
      </w:pPr>
      <w:r w:rsidRPr="00057FB8">
        <w:rPr>
          <w:rStyle w:val="normaltextrun"/>
          <w:noProof/>
          <w:color w:val="000000"/>
          <w:shd w:val="clear" w:color="auto" w:fill="FFFFFF"/>
        </w:rPr>
        <w:t>Comisia Europeană, „Cerere de contribuții cu privire la raționalizarea cerințelor de raportare”, octombrie-decembrie 2023</w:t>
      </w:r>
      <w:r w:rsidRPr="00057FB8">
        <w:rPr>
          <w:rStyle w:val="FootnoteReference"/>
          <w:noProof/>
          <w:color w:val="000000"/>
        </w:rPr>
        <w:footnoteReference w:id="18"/>
      </w:r>
      <w:r w:rsidRPr="00057FB8">
        <w:rPr>
          <w:rStyle w:val="normaltextrun"/>
          <w:noProof/>
          <w:color w:val="000000"/>
          <w:shd w:val="clear" w:color="auto" w:fill="FFFFFF"/>
        </w:rPr>
        <w:t xml:space="preserve">. </w:t>
      </w:r>
    </w:p>
    <w:p w14:paraId="58A6F751" w14:textId="77777777" w:rsidR="001275AC" w:rsidRPr="00057FB8" w:rsidRDefault="001275AC" w:rsidP="000B7904">
      <w:pPr>
        <w:pStyle w:val="paragraph"/>
        <w:numPr>
          <w:ilvl w:val="0"/>
          <w:numId w:val="17"/>
        </w:numPr>
        <w:spacing w:before="0" w:beforeAutospacing="0" w:after="0" w:afterAutospacing="0"/>
        <w:jc w:val="both"/>
        <w:textAlignment w:val="baseline"/>
        <w:rPr>
          <w:rStyle w:val="normaltextrun"/>
          <w:rFonts w:ascii="Segoe UI" w:hAnsi="Segoe UI" w:cs="Segoe UI"/>
          <w:noProof/>
          <w:sz w:val="18"/>
          <w:szCs w:val="18"/>
        </w:rPr>
      </w:pPr>
      <w:r w:rsidRPr="00057FB8">
        <w:rPr>
          <w:rStyle w:val="normaltextrun"/>
          <w:noProof/>
        </w:rPr>
        <w:t xml:space="preserve">Comisia Europeană, </w:t>
      </w:r>
      <w:r w:rsidRPr="00057FB8">
        <w:rPr>
          <w:rStyle w:val="normaltextrun"/>
          <w:i/>
          <w:noProof/>
        </w:rPr>
        <w:t>Reality Check on Sustainability Reporting and Roundtable on Simplification</w:t>
      </w:r>
      <w:r w:rsidRPr="00057FB8">
        <w:rPr>
          <w:rStyle w:val="normaltextrun"/>
          <w:noProof/>
        </w:rPr>
        <w:t xml:space="preserve"> (Examinare obiectivă referitoare la raportarea privind durabilitatea și masă rotundă privind simplificarea), începutul lunii februarie 2025.</w:t>
      </w:r>
    </w:p>
    <w:p w14:paraId="186ABB6A" w14:textId="77777777" w:rsidR="001275AC" w:rsidRPr="00057FB8" w:rsidRDefault="001275AC" w:rsidP="000B7904">
      <w:pPr>
        <w:pStyle w:val="paragraph"/>
        <w:numPr>
          <w:ilvl w:val="0"/>
          <w:numId w:val="17"/>
        </w:numPr>
        <w:spacing w:before="0" w:beforeAutospacing="0" w:after="0" w:afterAutospacing="0"/>
        <w:jc w:val="both"/>
        <w:textAlignment w:val="baseline"/>
        <w:rPr>
          <w:rFonts w:ascii="Segoe UI" w:hAnsi="Segoe UI" w:cs="Segoe UI"/>
          <w:noProof/>
          <w:sz w:val="18"/>
          <w:szCs w:val="18"/>
        </w:rPr>
      </w:pPr>
      <w:r w:rsidRPr="00057FB8">
        <w:rPr>
          <w:noProof/>
        </w:rPr>
        <w:t>Comisia Europeană a organizat, de asemenea, activități separate cu părțile interesate, inclusiv două mari forumuri hibride ale părților interesate cu privire la CSRD, în mai și noiembrie 2024, la care au participat fizic peste 400 de persoane, iar la distanță peste 3 000 de persoane.</w:t>
      </w:r>
    </w:p>
    <w:p w14:paraId="51A494F1" w14:textId="77777777" w:rsidR="000A19BC" w:rsidRPr="00057FB8" w:rsidRDefault="000A19BC" w:rsidP="000B7904">
      <w:pPr>
        <w:pStyle w:val="paragraph"/>
        <w:numPr>
          <w:ilvl w:val="0"/>
          <w:numId w:val="17"/>
        </w:numPr>
        <w:spacing w:before="0" w:beforeAutospacing="0" w:after="0" w:afterAutospacing="0"/>
        <w:jc w:val="both"/>
        <w:textAlignment w:val="baseline"/>
        <w:rPr>
          <w:noProof/>
        </w:rPr>
      </w:pPr>
      <w:r w:rsidRPr="00057FB8">
        <w:rPr>
          <w:noProof/>
        </w:rPr>
        <w:t>Comisia Europeană a primit un număr foarte mare de scrisori și analize detaliate din partea tuturor tipurilor de părți interesate (de la întreprinderi la investitori, bănci, societatea civilă, organizații neguvernamentale, camere de comerț și administrațiile naționale ale statelor membre).</w:t>
      </w:r>
    </w:p>
    <w:p w14:paraId="31F2CDAC" w14:textId="77777777" w:rsidR="000A19BC" w:rsidRPr="00057FB8" w:rsidRDefault="000A19BC" w:rsidP="000A19BC">
      <w:pPr>
        <w:pStyle w:val="paragraph"/>
        <w:spacing w:before="0" w:beforeAutospacing="0" w:after="0" w:afterAutospacing="0"/>
        <w:ind w:left="720"/>
        <w:jc w:val="both"/>
        <w:textAlignment w:val="baseline"/>
        <w:rPr>
          <w:rFonts w:ascii="Segoe UI" w:hAnsi="Segoe UI" w:cs="Segoe UI"/>
          <w:noProof/>
          <w:sz w:val="18"/>
          <w:szCs w:val="18"/>
        </w:rPr>
      </w:pPr>
    </w:p>
    <w:p w14:paraId="4AC91D72" w14:textId="77777777" w:rsidR="005A6B99" w:rsidRPr="00057FB8" w:rsidRDefault="005A6B99" w:rsidP="005A6B99">
      <w:pPr>
        <w:pBdr>
          <w:top w:val="nil"/>
          <w:left w:val="nil"/>
          <w:bottom w:val="nil"/>
          <w:right w:val="nil"/>
          <w:between w:val="nil"/>
          <w:bar w:val="nil"/>
        </w:pBdr>
        <w:spacing w:before="0" w:after="240"/>
        <w:rPr>
          <w:rStyle w:val="normaltextrun"/>
          <w:rFonts w:eastAsia="Arial Unicode MS"/>
          <w:noProof/>
          <w:u w:val="single"/>
        </w:rPr>
      </w:pPr>
      <w:r w:rsidRPr="00057FB8">
        <w:rPr>
          <w:noProof/>
          <w:u w:val="single"/>
        </w:rPr>
        <w:t>Directiva referitoare la raportarea privind durabilitatea de către întreprinderi</w:t>
      </w:r>
    </w:p>
    <w:p w14:paraId="207B6FB7" w14:textId="77777777" w:rsidR="005A6B99" w:rsidRPr="00057FB8" w:rsidRDefault="005A6B99" w:rsidP="005A6B99">
      <w:pPr>
        <w:pStyle w:val="paragraph"/>
        <w:spacing w:before="0" w:beforeAutospacing="0" w:after="0" w:afterAutospacing="0"/>
        <w:jc w:val="both"/>
        <w:textAlignment w:val="baseline"/>
        <w:rPr>
          <w:rStyle w:val="eop"/>
          <w:rFonts w:eastAsiaTheme="majorEastAsia"/>
          <w:noProof/>
          <w:color w:val="000000"/>
          <w:shd w:val="clear" w:color="auto" w:fill="FFFFFF"/>
        </w:rPr>
      </w:pPr>
      <w:r w:rsidRPr="00057FB8">
        <w:rPr>
          <w:noProof/>
          <w:color w:val="000000"/>
          <w:shd w:val="clear" w:color="auto" w:fill="FFFFFF"/>
        </w:rPr>
        <w:t>Cererea de contribuții a Comisiei Europene privind raționalizarea cerințelor de raportare a solicitat contribuții și opinii cu privire la reglementările care sunt percepute ca generând sarcini administrative. Au răspuns aproape 200 de părți interesate, care au solicitat în primul rând o simplificare a raportării privind durabilitatea, a obligației de diligență și a taxonomiei UE.</w:t>
      </w:r>
      <w:r w:rsidRPr="00057FB8">
        <w:rPr>
          <w:rStyle w:val="normaltextrun"/>
          <w:noProof/>
          <w:color w:val="000000"/>
          <w:shd w:val="clear" w:color="auto" w:fill="FFFFFF"/>
        </w:rPr>
        <w:t xml:space="preserve"> </w:t>
      </w:r>
    </w:p>
    <w:p w14:paraId="3A797607" w14:textId="77777777" w:rsidR="005A6B99" w:rsidRPr="00057FB8" w:rsidRDefault="005A6B99" w:rsidP="005A6B99">
      <w:pPr>
        <w:pStyle w:val="paragraph"/>
        <w:spacing w:before="0" w:beforeAutospacing="0" w:after="0" w:afterAutospacing="0"/>
        <w:jc w:val="both"/>
        <w:textAlignment w:val="baseline"/>
        <w:rPr>
          <w:rFonts w:ascii="Segoe UI" w:hAnsi="Segoe UI" w:cs="Segoe UI"/>
          <w:noProof/>
          <w:sz w:val="18"/>
          <w:szCs w:val="18"/>
        </w:rPr>
      </w:pPr>
    </w:p>
    <w:p w14:paraId="60B1CD5F" w14:textId="77777777" w:rsidR="005A6B99" w:rsidRPr="00057FB8" w:rsidRDefault="005A6B99" w:rsidP="005A6B99">
      <w:pPr>
        <w:pBdr>
          <w:top w:val="nil"/>
          <w:left w:val="nil"/>
          <w:bottom w:val="nil"/>
          <w:right w:val="nil"/>
          <w:between w:val="nil"/>
          <w:bar w:val="nil"/>
        </w:pBdr>
        <w:spacing w:before="0" w:after="240"/>
        <w:rPr>
          <w:noProof/>
        </w:rPr>
      </w:pPr>
      <w:r w:rsidRPr="00057FB8">
        <w:rPr>
          <w:noProof/>
        </w:rPr>
        <w:t xml:space="preserve">În cadrul reuniunilor Comisiei Europene cu reprezentanții industriei europene, ai partenerilor sociali și ai societății civile de la începutul lunii februarie 2025, părțile interesate și-au exprimat sprijinul pentru obiectivele generale ale CSRD și ale CSDDD, dar au subliniat necesitatea simplificării și armonizării punerii lor în aplicare. </w:t>
      </w:r>
    </w:p>
    <w:p w14:paraId="2020A5C2" w14:textId="77777777" w:rsidR="00083FC5" w:rsidRPr="00057FB8" w:rsidRDefault="00083FC5" w:rsidP="005A6B99">
      <w:pPr>
        <w:pBdr>
          <w:top w:val="nil"/>
          <w:left w:val="nil"/>
          <w:bottom w:val="nil"/>
          <w:right w:val="nil"/>
          <w:between w:val="nil"/>
          <w:bar w:val="nil"/>
        </w:pBdr>
        <w:spacing w:before="0" w:after="240"/>
        <w:rPr>
          <w:noProof/>
        </w:rPr>
      </w:pPr>
      <w:r w:rsidRPr="00057FB8">
        <w:rPr>
          <w:noProof/>
        </w:rPr>
        <w:t xml:space="preserve">Unele părți interesate, în special asociațiile de întreprinderi și grupurile industriale, au sugerat întreruperea aplicării legislației existente pentru ca activitatea să se concentreze asupra simplificării. Acestea au susținut că o amânare a cerințelor de raportare prevăzute în CSRD ar permite Comisiei să simplifice cadrul, oferind totodată întreprinderilor mai mult timp ca să se pregătească pentru modificările iminente. </w:t>
      </w:r>
    </w:p>
    <w:p w14:paraId="1F83BAB3" w14:textId="77777777" w:rsidR="00083FC5" w:rsidRPr="00057FB8" w:rsidRDefault="00083FC5" w:rsidP="001275AC">
      <w:pPr>
        <w:pBdr>
          <w:top w:val="nil"/>
          <w:left w:val="nil"/>
          <w:bottom w:val="nil"/>
          <w:right w:val="nil"/>
          <w:between w:val="nil"/>
          <w:bar w:val="nil"/>
        </w:pBdr>
        <w:spacing w:before="0" w:after="240"/>
        <w:rPr>
          <w:noProof/>
        </w:rPr>
      </w:pPr>
      <w:r w:rsidRPr="00057FB8">
        <w:rPr>
          <w:noProof/>
        </w:rPr>
        <w:t>Alte părți interesate, în special grupurile din cadrul societății civile, au considerat că se impune menținerea normelor și au subliniat importanța securității juridice și a stabilității în materie de reglementare pentru întreprinderi, precum și pentru menținerea obiectivelor Pactului verde european și ale Planului de acțiune privind finanțarea creșterii durabile. Acestea au evidențiat, de asemenea, că, în loc să se amâne sau să se modifice normele existente, ar trebui să se utilizeze orientări privind punerea în aplicare pentru a clarifica și a simplifica anumite părți ale cadrului de raportare privind durabilitatea.</w:t>
      </w:r>
    </w:p>
    <w:p w14:paraId="1B9E39D9" w14:textId="70E9B628" w:rsidR="00D1796E" w:rsidRPr="00057FB8" w:rsidRDefault="00D1796E" w:rsidP="00D1796E">
      <w:pPr>
        <w:pStyle w:val="paragraph"/>
        <w:spacing w:before="0" w:beforeAutospacing="0" w:after="0" w:afterAutospacing="0"/>
        <w:jc w:val="both"/>
        <w:textAlignment w:val="baseline"/>
        <w:rPr>
          <w:rStyle w:val="eop"/>
          <w:noProof/>
          <w:color w:val="000000"/>
          <w:shd w:val="clear" w:color="auto" w:fill="FFFFFF"/>
        </w:rPr>
      </w:pPr>
      <w:r w:rsidRPr="00057FB8">
        <w:rPr>
          <w:rStyle w:val="normaltextrun"/>
          <w:noProof/>
          <w:color w:val="000000"/>
          <w:shd w:val="clear" w:color="auto" w:fill="FFFFFF"/>
        </w:rPr>
        <w:t>Necesitatea simplificării a fost confirmată și de multe alte rapoarte, recomandări și opinii ale părților interesate, atât din partea întreprinderilor din sectorul financiar, cât și din partea întreprinderilor din sectoarele nefinanciare; multe dintre acestea au subliniat importanța reducerii complexității și a sarcinilor administrative și au contribuit la elaborarea măsurilor de reducere a sarcinii descrise în prezenta propunere.</w:t>
      </w:r>
      <w:r w:rsidR="00741D62">
        <w:rPr>
          <w:rStyle w:val="normaltextrun"/>
          <w:noProof/>
          <w:color w:val="000000"/>
          <w:shd w:val="clear" w:color="auto" w:fill="FFFFFF"/>
        </w:rPr>
        <w:t xml:space="preserve"> </w:t>
      </w:r>
    </w:p>
    <w:p w14:paraId="201E04FD" w14:textId="77777777" w:rsidR="00D1796E" w:rsidRPr="00057FB8" w:rsidRDefault="00D1796E" w:rsidP="00D1796E">
      <w:pPr>
        <w:pStyle w:val="paragraph"/>
        <w:spacing w:before="0" w:beforeAutospacing="0" w:after="0" w:afterAutospacing="0"/>
        <w:jc w:val="both"/>
        <w:textAlignment w:val="baseline"/>
        <w:rPr>
          <w:rFonts w:ascii="Segoe UI" w:hAnsi="Segoe UI" w:cs="Segoe UI"/>
          <w:noProof/>
          <w:sz w:val="18"/>
          <w:szCs w:val="18"/>
        </w:rPr>
      </w:pPr>
    </w:p>
    <w:p w14:paraId="3AB21881" w14:textId="77777777" w:rsidR="001275AC" w:rsidRPr="00057FB8" w:rsidRDefault="001275AC" w:rsidP="001275AC">
      <w:pPr>
        <w:pBdr>
          <w:top w:val="nil"/>
          <w:left w:val="nil"/>
          <w:bottom w:val="nil"/>
          <w:right w:val="nil"/>
          <w:between w:val="nil"/>
          <w:bar w:val="nil"/>
        </w:pBdr>
        <w:spacing w:before="0" w:after="240"/>
        <w:rPr>
          <w:rFonts w:eastAsia="Arial Unicode MS"/>
          <w:noProof/>
          <w:u w:val="single"/>
        </w:rPr>
      </w:pPr>
      <w:r w:rsidRPr="00057FB8">
        <w:rPr>
          <w:noProof/>
          <w:u w:val="single"/>
        </w:rPr>
        <w:t>Directiva privind diligența necesară în materie de durabilitate a întreprinderilor</w:t>
      </w:r>
    </w:p>
    <w:p w14:paraId="5D62E859" w14:textId="77777777" w:rsidR="004B0309" w:rsidRPr="00057FB8" w:rsidRDefault="004B0309" w:rsidP="004B0309">
      <w:pPr>
        <w:rPr>
          <w:noProof/>
        </w:rPr>
      </w:pPr>
      <w:r w:rsidRPr="00057FB8">
        <w:rPr>
          <w:noProof/>
        </w:rPr>
        <w:t>La baza propunerii au stat consultările cu diverse părți interesate, incluzând întreprinderi, organisme profesionale și organizații ale societății civile, precum și alte contacte și contribuții primite de la părțile interesate. Acestea includ, în special, un eveniment de două zile desfășurat cu părțile interesate, care a permis Comisiei să afle direct de la practicieni care sunt problemele cu care se confruntă aceștia în ceea ce privește cadrul legislativ actual și care ar putea fi soluțiile posibile. În timp ce unele părți interesate au solicitat modificări ample și amânări, altele au subliniat necesitatea securității în materie de reglementare și s-au opus modificării directivei, axându-se în schimb pe punerea în aplicare. Propunerea, împreună cu propunerea paralelă de simplificare, urmărește să echilibreze aceste perspective prin menținerea integrității CSDDD, cu introducerea unor modificări pentru simplificarea și raționalizarea directivei.</w:t>
      </w:r>
    </w:p>
    <w:p w14:paraId="36789638"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Obținerea și utilizarea cunoștințelor de specialitate</w:t>
      </w:r>
    </w:p>
    <w:p w14:paraId="4B27ADCC" w14:textId="77777777" w:rsidR="006C7F87" w:rsidRPr="00057FB8" w:rsidRDefault="0077312E" w:rsidP="0094068A">
      <w:pPr>
        <w:pBdr>
          <w:top w:val="nil"/>
          <w:left w:val="nil"/>
          <w:bottom w:val="nil"/>
          <w:right w:val="nil"/>
          <w:between w:val="nil"/>
          <w:bar w:val="nil"/>
        </w:pBdr>
        <w:spacing w:before="0" w:after="240"/>
        <w:rPr>
          <w:noProof/>
        </w:rPr>
      </w:pPr>
      <w:r w:rsidRPr="00057FB8">
        <w:rPr>
          <w:noProof/>
        </w:rPr>
        <w:t xml:space="preserve">Nu se aplică. </w:t>
      </w:r>
    </w:p>
    <w:p w14:paraId="4C434194"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Evaluarea impactului</w:t>
      </w:r>
    </w:p>
    <w:p w14:paraId="4B3795C5" w14:textId="3DF4DD63" w:rsidR="006C7F87" w:rsidRPr="00057FB8" w:rsidRDefault="00E649C0" w:rsidP="0094068A">
      <w:pPr>
        <w:pBdr>
          <w:top w:val="nil"/>
          <w:left w:val="nil"/>
          <w:bottom w:val="nil"/>
          <w:right w:val="nil"/>
          <w:between w:val="nil"/>
          <w:bar w:val="nil"/>
        </w:pBdr>
        <w:spacing w:before="0" w:after="240"/>
        <w:rPr>
          <w:noProof/>
        </w:rPr>
      </w:pPr>
      <w:r w:rsidRPr="00057FB8">
        <w:rPr>
          <w:noProof/>
        </w:rPr>
        <w:t>Prezenta propunere este însoțită de un document de lucru al serviciilor Comisiei care include o analiză a impactului măsurilor propuse. Având în vedere necesitatea urgentă de a prezenta propuneri pentru abordarea problemelor identificate, nu a fost posibilă pregătirea unei evaluări complete a impactului.</w:t>
      </w:r>
      <w:r w:rsidR="00741D62">
        <w:rPr>
          <w:noProof/>
        </w:rPr>
        <w:t xml:space="preserve"> </w:t>
      </w:r>
    </w:p>
    <w:p w14:paraId="2E797997"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Adecvarea reglementărilor și simplificarea</w:t>
      </w:r>
    </w:p>
    <w:p w14:paraId="053A533A" w14:textId="77777777" w:rsidR="006C7F87" w:rsidRPr="00057FB8" w:rsidRDefault="00645D12" w:rsidP="0094068A">
      <w:pPr>
        <w:pBdr>
          <w:top w:val="nil"/>
          <w:left w:val="nil"/>
          <w:bottom w:val="nil"/>
          <w:right w:val="nil"/>
          <w:between w:val="nil"/>
          <w:bar w:val="nil"/>
        </w:pBdr>
        <w:spacing w:before="0" w:after="240"/>
        <w:rPr>
          <w:rFonts w:eastAsia="Arial Unicode MS"/>
          <w:noProof/>
        </w:rPr>
      </w:pPr>
      <w:r w:rsidRPr="00057FB8">
        <w:rPr>
          <w:noProof/>
        </w:rPr>
        <w:t>Prezenta propunere este concepută în mod expres pentru a facilita o simplificare majoră a regimului de raportare privind durabilitatea.</w:t>
      </w:r>
    </w:p>
    <w:p w14:paraId="2997827B"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Drepturile fundamentale</w:t>
      </w:r>
    </w:p>
    <w:p w14:paraId="34757B2E" w14:textId="77777777" w:rsidR="007730D3" w:rsidRPr="00057FB8" w:rsidRDefault="007730D3" w:rsidP="007730D3">
      <w:pPr>
        <w:pBdr>
          <w:top w:val="nil"/>
          <w:left w:val="nil"/>
          <w:bottom w:val="nil"/>
          <w:right w:val="nil"/>
          <w:between w:val="nil"/>
          <w:bar w:val="nil"/>
        </w:pBdr>
        <w:spacing w:before="0" w:after="240"/>
        <w:rPr>
          <w:noProof/>
          <w:u w:val="single"/>
        </w:rPr>
      </w:pPr>
      <w:r w:rsidRPr="00057FB8">
        <w:rPr>
          <w:noProof/>
          <w:u w:val="single"/>
        </w:rPr>
        <w:t>Directiva referitoare la raportarea privind durabilitatea de către întreprinderi</w:t>
      </w:r>
    </w:p>
    <w:p w14:paraId="1A036D07" w14:textId="77777777" w:rsidR="007C2EAE" w:rsidRPr="00057FB8" w:rsidRDefault="007C2EAE" w:rsidP="007C2EAE">
      <w:pPr>
        <w:pBdr>
          <w:top w:val="nil"/>
          <w:left w:val="nil"/>
          <w:bottom w:val="nil"/>
          <w:right w:val="nil"/>
          <w:between w:val="nil"/>
          <w:bar w:val="nil"/>
        </w:pBdr>
        <w:spacing w:before="0" w:after="240"/>
        <w:rPr>
          <w:noProof/>
        </w:rPr>
      </w:pPr>
      <w:r w:rsidRPr="00057FB8">
        <w:rPr>
          <w:noProof/>
        </w:rPr>
        <w:t xml:space="preserve">Propunerea respectă drepturile fundamentale consacrate și principiile enunțate în Carta drepturilor fundamentale a Uniunii Europene. Directiva referitoare la raportarea privind durabilitatea de către întreprinderi are un impact pozitiv indirect asupra drepturilor fundamentale, având în vedere că cerințele de raportare privind durabilitatea pot influența în bine comportamentul întreprinderilor. Directiva servește la sensibilizarea într-o mai mare măsură a întreprinderilor cu privire la drepturile fundamentale și la influențarea pozitivă a modului în care acestea identifică și gestionează impacturile negative reale și potențiale asupra drepturilor fundamentale. Amânarea propusă ar întârzia, astfel, aceste efecte pozitive în cazul întreprinderilor care ar începe să aplice cerințele de raportare la o dată ulterioară. Cu toate acestea, reducerea sarcinii pentru astfel de întreprinderi și, în special, reducerea sarcinii pentru întreprinderile care ar fi excluse din domeniul de aplicare al CSRD prin propunerea separată făcută de Comisie în paralel cu prezenta propunere ar trebui să genereze alte câștiguri societale în ceea ce privește crearea de bogăție, ocuparea forței de muncă și inovarea, inclusiv inovarea pentru durabilitate. </w:t>
      </w:r>
    </w:p>
    <w:p w14:paraId="107A6CCE" w14:textId="77777777" w:rsidR="004B79C1" w:rsidRPr="00057FB8" w:rsidRDefault="004B79C1" w:rsidP="004B79C1">
      <w:pPr>
        <w:pBdr>
          <w:top w:val="nil"/>
          <w:left w:val="nil"/>
          <w:bottom w:val="nil"/>
          <w:right w:val="nil"/>
          <w:between w:val="nil"/>
          <w:bar w:val="nil"/>
        </w:pBdr>
        <w:spacing w:before="0" w:after="240"/>
        <w:rPr>
          <w:noProof/>
          <w:u w:val="single"/>
        </w:rPr>
      </w:pPr>
      <w:r w:rsidRPr="00057FB8">
        <w:rPr>
          <w:noProof/>
          <w:u w:val="single"/>
        </w:rPr>
        <w:t>Directiva privind diligența necesară în materie de durabilitate a întreprinderilor</w:t>
      </w:r>
    </w:p>
    <w:p w14:paraId="43ACC459" w14:textId="77777777" w:rsidR="007730D3" w:rsidRPr="00057FB8" w:rsidRDefault="009B0967" w:rsidP="007C2EAE">
      <w:pPr>
        <w:pBdr>
          <w:top w:val="nil"/>
          <w:left w:val="nil"/>
          <w:bottom w:val="nil"/>
          <w:right w:val="nil"/>
          <w:between w:val="nil"/>
          <w:bar w:val="nil"/>
        </w:pBdr>
        <w:spacing w:before="0" w:after="240"/>
        <w:rPr>
          <w:noProof/>
        </w:rPr>
      </w:pPr>
      <w:r w:rsidRPr="00057FB8">
        <w:rPr>
          <w:noProof/>
        </w:rPr>
        <w:t xml:space="preserve">Propunerea respectă drepturile fundamentale consacrate și principiile enunțate în Carta drepturilor fundamentale a Uniunii Europene. Unul dintre obiectivele principale ale CSDDD este protecția și promovarea drepturilor fundamentale. Directiva impune întreprinderilor foarte mari să identifice și să abordeze impacturile negative asupra drepturilor omului și asupra mediului în propriile lor operațiuni, în operațiunile filialelor lor și în lanțurile lor de activități. Amânarea propusă ar întârzia aceste efecte pozitive în cazul primului grup de întreprinderi care intră în domeniul de aplicare al directivei, care ar începe să aplice cerințele privind diligența necesară la o dată ulterioară. </w:t>
      </w:r>
    </w:p>
    <w:p w14:paraId="55F555EF" w14:textId="77777777" w:rsidR="006C7F87" w:rsidRPr="00057FB8" w:rsidRDefault="006C7F87" w:rsidP="0094068A">
      <w:pPr>
        <w:pStyle w:val="ManualHeading1"/>
        <w:rPr>
          <w:noProof/>
        </w:rPr>
      </w:pPr>
      <w:r w:rsidRPr="00057FB8">
        <w:rPr>
          <w:noProof/>
        </w:rPr>
        <w:t>4.</w:t>
      </w:r>
      <w:r w:rsidRPr="00057FB8">
        <w:rPr>
          <w:noProof/>
        </w:rPr>
        <w:tab/>
        <w:t>IMPLICAȚII BUGETARE</w:t>
      </w:r>
    </w:p>
    <w:p w14:paraId="3FEE963A" w14:textId="77777777" w:rsidR="006C7F87" w:rsidRPr="00057FB8" w:rsidRDefault="00661D1F" w:rsidP="0094068A">
      <w:pPr>
        <w:pBdr>
          <w:top w:val="nil"/>
          <w:left w:val="nil"/>
          <w:bottom w:val="nil"/>
          <w:right w:val="nil"/>
          <w:between w:val="nil"/>
          <w:bar w:val="nil"/>
        </w:pBdr>
        <w:spacing w:before="0" w:after="240"/>
        <w:rPr>
          <w:rFonts w:eastAsia="Arial Unicode MS"/>
          <w:noProof/>
        </w:rPr>
      </w:pPr>
      <w:r w:rsidRPr="00057FB8">
        <w:rPr>
          <w:noProof/>
        </w:rPr>
        <w:t xml:space="preserve">Prezenta propunere nu are implicații bugetare. </w:t>
      </w:r>
    </w:p>
    <w:p w14:paraId="3F061832" w14:textId="77777777" w:rsidR="006C7F87" w:rsidRPr="00057FB8" w:rsidRDefault="006C7F87" w:rsidP="0094068A">
      <w:pPr>
        <w:pStyle w:val="ManualHeading1"/>
        <w:rPr>
          <w:noProof/>
        </w:rPr>
      </w:pPr>
      <w:r w:rsidRPr="00057FB8">
        <w:rPr>
          <w:noProof/>
        </w:rPr>
        <w:t>5.</w:t>
      </w:r>
      <w:r w:rsidRPr="00057FB8">
        <w:rPr>
          <w:noProof/>
        </w:rPr>
        <w:tab/>
        <w:t>ALTE ELEMENTE</w:t>
      </w:r>
    </w:p>
    <w:p w14:paraId="67DB09EF"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Planurile de punere în aplicare și măsurile de monitorizare, evaluare și raportare</w:t>
      </w:r>
    </w:p>
    <w:p w14:paraId="5918F282" w14:textId="77777777" w:rsidR="006C7F87" w:rsidRPr="00057FB8" w:rsidRDefault="00733A6F" w:rsidP="0094068A">
      <w:pPr>
        <w:pBdr>
          <w:top w:val="nil"/>
          <w:left w:val="nil"/>
          <w:bottom w:val="nil"/>
          <w:right w:val="nil"/>
          <w:between w:val="nil"/>
          <w:bar w:val="nil"/>
        </w:pBdr>
        <w:spacing w:before="0" w:after="240"/>
        <w:rPr>
          <w:noProof/>
        </w:rPr>
      </w:pPr>
      <w:r w:rsidRPr="00057FB8">
        <w:rPr>
          <w:noProof/>
        </w:rPr>
        <w:t>Nu se aplică.</w:t>
      </w:r>
    </w:p>
    <w:p w14:paraId="2D1C5984" w14:textId="77777777" w:rsidR="006C7F87" w:rsidRPr="00057FB8" w:rsidRDefault="006C7F87" w:rsidP="0094068A">
      <w:pPr>
        <w:pStyle w:val="ManualHeading2"/>
        <w:rPr>
          <w:rFonts w:eastAsia="Arial Unicode MS"/>
          <w:noProof/>
          <w:u w:color="000000"/>
          <w:bdr w:val="nil"/>
        </w:rPr>
      </w:pPr>
      <w:r w:rsidRPr="00057FB8">
        <w:rPr>
          <w:noProof/>
          <w:u w:color="000000"/>
          <w:bdr w:val="nil"/>
        </w:rPr>
        <w:t>•</w:t>
      </w:r>
      <w:r w:rsidRPr="00057FB8">
        <w:rPr>
          <w:noProof/>
          <w:u w:color="000000"/>
          <w:bdr w:val="nil"/>
        </w:rPr>
        <w:tab/>
        <w:t>Documentele explicative (în cazul directivelor)</w:t>
      </w:r>
    </w:p>
    <w:p w14:paraId="33A2F332" w14:textId="77777777" w:rsidR="006A1E17" w:rsidRPr="00057FB8" w:rsidRDefault="006A1E17" w:rsidP="006A1E17">
      <w:pPr>
        <w:pBdr>
          <w:top w:val="nil"/>
          <w:left w:val="nil"/>
          <w:bottom w:val="nil"/>
          <w:right w:val="nil"/>
          <w:between w:val="nil"/>
          <w:bar w:val="nil"/>
        </w:pBdr>
        <w:spacing w:before="0" w:after="240"/>
        <w:rPr>
          <w:rFonts w:eastAsia="Arial Unicode MS"/>
          <w:noProof/>
        </w:rPr>
      </w:pPr>
      <w:r w:rsidRPr="00057FB8">
        <w:rPr>
          <w:noProof/>
        </w:rPr>
        <w:t>Nu sunt considerate necesare documente explicative.</w:t>
      </w:r>
    </w:p>
    <w:p w14:paraId="1C3D5683" w14:textId="7CE0BE1C" w:rsidR="006C7F87" w:rsidRPr="00057FB8" w:rsidRDefault="006C7F87" w:rsidP="00DD2BEC">
      <w:pPr>
        <w:pStyle w:val="ManualHeading2"/>
        <w:rPr>
          <w:rFonts w:eastAsia="Arial Unicode MS"/>
          <w:noProof/>
          <w:u w:color="000000"/>
          <w:bdr w:val="nil"/>
        </w:rPr>
      </w:pPr>
      <w:r w:rsidRPr="00057FB8">
        <w:rPr>
          <w:noProof/>
          <w:u w:color="000000"/>
          <w:bdr w:val="nil"/>
        </w:rPr>
        <w:t>•</w:t>
      </w:r>
      <w:r w:rsidRPr="00057FB8">
        <w:rPr>
          <w:noProof/>
          <w:u w:color="000000"/>
          <w:bdr w:val="nil"/>
        </w:rPr>
        <w:tab/>
        <w:t>Explicarea detaliată a dispozițiilor specifice ale propunerii</w:t>
      </w:r>
    </w:p>
    <w:p w14:paraId="782C9BD4" w14:textId="77777777" w:rsidR="00D1123F" w:rsidRPr="00057FB8" w:rsidRDefault="00D1123F" w:rsidP="0057371C">
      <w:pPr>
        <w:spacing w:before="0" w:after="0"/>
        <w:rPr>
          <w:noProof/>
        </w:rPr>
      </w:pPr>
      <w:bookmarkStart w:id="2" w:name="_Hlk190089865"/>
      <w:r w:rsidRPr="00057FB8">
        <w:rPr>
          <w:noProof/>
        </w:rPr>
        <w:t xml:space="preserve">Articolul 1 modifică articolul 5 alineatul (2) din Directiva (UE) 2022/2464 (Directiva referitoare la raportarea privind durabilitatea de către întreprinderi – „CSRD”) prin introducerea unei amânări cu 2 ani a cerințelor de raportare privind durabilitatea pentru toate întreprinderile care intră în domeniul de aplicare al CSRD și care trebuie să se conformeze începând cu exercițiul financiar 2025 sau 2026, în funcție de dimensiunea lor. </w:t>
      </w:r>
    </w:p>
    <w:p w14:paraId="626315B7" w14:textId="77777777" w:rsidR="002C75E5" w:rsidRPr="00057FB8" w:rsidRDefault="002C75E5" w:rsidP="0057371C">
      <w:pPr>
        <w:spacing w:before="0" w:after="0"/>
        <w:rPr>
          <w:noProof/>
        </w:rPr>
      </w:pPr>
      <w:r w:rsidRPr="00057FB8">
        <w:rPr>
          <w:noProof/>
        </w:rPr>
        <w:t>În mod concret:</w:t>
      </w:r>
    </w:p>
    <w:p w14:paraId="0E44F782" w14:textId="77777777" w:rsidR="003D234B" w:rsidRPr="00057FB8" w:rsidRDefault="00482FA2" w:rsidP="00DD2BEC">
      <w:pPr>
        <w:pStyle w:val="Tiret0"/>
        <w:rPr>
          <w:noProof/>
        </w:rPr>
      </w:pPr>
      <w:r w:rsidRPr="00057FB8">
        <w:rPr>
          <w:noProof/>
        </w:rPr>
        <w:t>la alineatul (1) litera (a) se impune statelor membre să se asigure că următoarele întreprinderi raportează cu privire la durabilitate începând cu exercițiile financiare care încep la 1 ianuarie 2027 sau după această dată (în loc de 1 ianuarie 2025):</w:t>
      </w:r>
    </w:p>
    <w:p w14:paraId="06D7EA88" w14:textId="77777777" w:rsidR="003D234B" w:rsidRPr="00057FB8" w:rsidRDefault="00571B79" w:rsidP="00373936">
      <w:pPr>
        <w:pStyle w:val="Bullet0"/>
        <w:numPr>
          <w:ilvl w:val="0"/>
          <w:numId w:val="22"/>
        </w:numPr>
        <w:tabs>
          <w:tab w:val="clear" w:pos="850"/>
          <w:tab w:val="num" w:pos="1560"/>
        </w:tabs>
        <w:ind w:left="1276" w:hanging="425"/>
        <w:rPr>
          <w:noProof/>
        </w:rPr>
      </w:pPr>
      <w:r w:rsidRPr="00057FB8">
        <w:rPr>
          <w:noProof/>
        </w:rPr>
        <w:t xml:space="preserve">întreprinderile mari care au cel mult 500 de angajați în medie în cursul exercițiului financiar; </w:t>
      </w:r>
    </w:p>
    <w:p w14:paraId="244D0EA4" w14:textId="77777777" w:rsidR="003D234B" w:rsidRPr="00057FB8" w:rsidRDefault="003D234B" w:rsidP="00DD2BEC">
      <w:pPr>
        <w:pStyle w:val="Bullet0"/>
        <w:tabs>
          <w:tab w:val="clear" w:pos="850"/>
          <w:tab w:val="num" w:pos="1560"/>
        </w:tabs>
        <w:ind w:left="1276" w:hanging="425"/>
        <w:rPr>
          <w:noProof/>
        </w:rPr>
      </w:pPr>
      <w:r w:rsidRPr="00057FB8">
        <w:rPr>
          <w:noProof/>
        </w:rPr>
        <w:t xml:space="preserve">întreprinderile mari care au peste 500 de angajați în medie în cursul exercițiului financiar, dar care nu sunt entități de interes public; </w:t>
      </w:r>
    </w:p>
    <w:p w14:paraId="3B377C00" w14:textId="77777777" w:rsidR="00F83E1C" w:rsidRPr="00057FB8" w:rsidRDefault="00F83E1C" w:rsidP="00DD2BEC">
      <w:pPr>
        <w:pStyle w:val="Bullet0"/>
        <w:tabs>
          <w:tab w:val="clear" w:pos="850"/>
          <w:tab w:val="num" w:pos="1560"/>
        </w:tabs>
        <w:ind w:left="1276" w:hanging="425"/>
        <w:rPr>
          <w:noProof/>
        </w:rPr>
      </w:pPr>
      <w:r w:rsidRPr="00057FB8">
        <w:rPr>
          <w:noProof/>
        </w:rPr>
        <w:t>societățile-mamă ale unui grup mare cu peste 500 de angajați în medie la data bilanțului pe bază consolidată în cursul exercițiului financiar;</w:t>
      </w:r>
    </w:p>
    <w:p w14:paraId="5A9CDE58" w14:textId="77777777" w:rsidR="003D234B" w:rsidRPr="00057FB8" w:rsidRDefault="000A419A" w:rsidP="00DD2BEC">
      <w:pPr>
        <w:pStyle w:val="Bullet0"/>
        <w:tabs>
          <w:tab w:val="clear" w:pos="850"/>
          <w:tab w:val="num" w:pos="1560"/>
        </w:tabs>
        <w:ind w:left="1276" w:hanging="425"/>
        <w:rPr>
          <w:noProof/>
        </w:rPr>
      </w:pPr>
      <w:r w:rsidRPr="00057FB8">
        <w:rPr>
          <w:noProof/>
        </w:rPr>
        <w:t>societățile-mamă ale unui grup mare cu peste 500 de angajați în medie la data bilanțului pe bază consolidată în cursul exercițiului financiar, dar care nu sunt entități de interes public;</w:t>
      </w:r>
    </w:p>
    <w:p w14:paraId="4F0AC7B6" w14:textId="77777777" w:rsidR="00AE44DE" w:rsidRPr="00057FB8" w:rsidRDefault="00996F14" w:rsidP="00DD2BEC">
      <w:pPr>
        <w:pStyle w:val="Tiret0"/>
        <w:rPr>
          <w:noProof/>
        </w:rPr>
      </w:pPr>
      <w:r w:rsidRPr="00057FB8">
        <w:rPr>
          <w:noProof/>
        </w:rPr>
        <w:t xml:space="preserve">la alineatul (1) litera (b) se impune statelor membre să se asigure că IMM-urile ale căror valori mobiliare sunt admise la tranzacționare pe o piață reglementată din UE, instituțiile mici și cu un grad redus de complexitate (cu condiția să fie întreprinderi mari sau IMM-uri cotate la bursă) și întreprinderile de (re)asigurare captive din UE (cu condiția să fie întreprinderi mari sau IMM-uri cotate la bursă) raportează cu privire la durabilitate începând cu exercițiile financiare care încep la 1 ianuarie 2028 sau ulterior acestei date (în loc de 1 ianuarie 2026); </w:t>
      </w:r>
    </w:p>
    <w:p w14:paraId="6B9C609D" w14:textId="77777777" w:rsidR="00965588" w:rsidRPr="00057FB8" w:rsidRDefault="00996F14" w:rsidP="00DD2BEC">
      <w:pPr>
        <w:pStyle w:val="Tiret0"/>
        <w:rPr>
          <w:noProof/>
        </w:rPr>
      </w:pPr>
      <w:r w:rsidRPr="00057FB8">
        <w:rPr>
          <w:noProof/>
        </w:rPr>
        <w:t>la alineatul (2) litera (a) se impune statelor membre să se asigure că următorii emitenți raportează cu privire la durabilitate începând cu exercițiile financiare care încep la 1 ianuarie 2027 sau ulterior acestei date (în loc de 1 ianuarie 2025):</w:t>
      </w:r>
    </w:p>
    <w:p w14:paraId="69335C85" w14:textId="77777777" w:rsidR="001F18C1" w:rsidRPr="00057FB8" w:rsidRDefault="009A2097" w:rsidP="00DD2BEC">
      <w:pPr>
        <w:pStyle w:val="Bullet0"/>
        <w:tabs>
          <w:tab w:val="clear" w:pos="850"/>
          <w:tab w:val="num" w:pos="1276"/>
        </w:tabs>
        <w:ind w:left="1276" w:hanging="425"/>
        <w:rPr>
          <w:noProof/>
        </w:rPr>
      </w:pPr>
      <w:r w:rsidRPr="00057FB8">
        <w:rPr>
          <w:noProof/>
        </w:rPr>
        <w:t xml:space="preserve">emitenții care sunt întreprinderi mari cu cel mult 500 de angajați în medie în cursul exercițiului financiar; </w:t>
      </w:r>
    </w:p>
    <w:p w14:paraId="72715353" w14:textId="77777777" w:rsidR="001F18C1" w:rsidRPr="00057FB8" w:rsidRDefault="006E5885" w:rsidP="00DD2BEC">
      <w:pPr>
        <w:pStyle w:val="Bullet0"/>
        <w:tabs>
          <w:tab w:val="clear" w:pos="850"/>
          <w:tab w:val="num" w:pos="1276"/>
        </w:tabs>
        <w:ind w:left="1276" w:hanging="425"/>
        <w:rPr>
          <w:noProof/>
        </w:rPr>
      </w:pPr>
      <w:r w:rsidRPr="00057FB8">
        <w:rPr>
          <w:noProof/>
        </w:rPr>
        <w:t>emitenții care sunt societăți-mamă ale unui grup mare cu maximum 500 de angajați în medie pe bază consolidată în cursul exercițiului financiar;</w:t>
      </w:r>
    </w:p>
    <w:p w14:paraId="00967E68" w14:textId="068BB80E" w:rsidR="00965588" w:rsidRPr="00057FB8" w:rsidRDefault="00996F14" w:rsidP="00DD2BEC">
      <w:pPr>
        <w:pStyle w:val="Tiret0"/>
        <w:rPr>
          <w:noProof/>
        </w:rPr>
      </w:pPr>
      <w:r w:rsidRPr="00057FB8">
        <w:rPr>
          <w:noProof/>
        </w:rPr>
        <w:t>la alineatul (2) litera (b) se impune statelor membre să se asigure că emitenții care sunt IMM-uri, instituții mici și cu un grad redus de complexitate (cu condiția să fie întreprinderi mari sau IMM-uri cotate la bursă) și întreprinderi de (re)asigurare captive din UE (cu condiția să fie întreprinderi mari sau IMM-uri cotate la bursă) raportează cu privire la durabilitate începând cu exercițiile financiare care încep la 1</w:t>
      </w:r>
      <w:r w:rsidR="00741D62">
        <w:rPr>
          <w:noProof/>
        </w:rPr>
        <w:t> </w:t>
      </w:r>
      <w:r w:rsidRPr="00057FB8">
        <w:rPr>
          <w:noProof/>
        </w:rPr>
        <w:t xml:space="preserve">ianuarie 2028 sau ulterior acestei date (în loc de 1 ianuarie 2026). </w:t>
      </w:r>
    </w:p>
    <w:bookmarkEnd w:id="2"/>
    <w:p w14:paraId="287C1AF3" w14:textId="77777777" w:rsidR="00D1123F" w:rsidRPr="00057FB8" w:rsidRDefault="00D1123F" w:rsidP="00044603">
      <w:pPr>
        <w:pStyle w:val="ListParagraph"/>
        <w:spacing w:before="0" w:after="0"/>
        <w:rPr>
          <w:noProof/>
        </w:rPr>
      </w:pPr>
    </w:p>
    <w:p w14:paraId="3C22947A" w14:textId="77777777" w:rsidR="00240611" w:rsidRPr="00057FB8" w:rsidRDefault="00D1123F" w:rsidP="008E7E13">
      <w:pPr>
        <w:spacing w:before="0" w:after="0"/>
        <w:rPr>
          <w:noProof/>
        </w:rPr>
      </w:pPr>
      <w:r w:rsidRPr="00057FB8">
        <w:rPr>
          <w:noProof/>
        </w:rPr>
        <w:t>Articolul 2 modifică articolul 37 din Directiva (UE) 2024/1760 (Directiva privind diligența necesară a întreprinderilor – „CSDDD”) prin amânarea termenului de transpunere, precum și a aplicării directivei cu 1 an pentru primul grup de întreprinderi care intră în domeniul de aplicare al directivei.</w:t>
      </w:r>
    </w:p>
    <w:p w14:paraId="15A6D424" w14:textId="77777777" w:rsidR="00AE5E8C" w:rsidRPr="00057FB8" w:rsidRDefault="00AE5E8C" w:rsidP="00AE5E8C">
      <w:pPr>
        <w:spacing w:before="0" w:after="0"/>
        <w:jc w:val="left"/>
        <w:rPr>
          <w:noProof/>
        </w:rPr>
      </w:pPr>
    </w:p>
    <w:p w14:paraId="3C2533B5" w14:textId="77777777" w:rsidR="00D1123F" w:rsidRPr="00057FB8" w:rsidRDefault="00D1123F" w:rsidP="004A73DD">
      <w:pPr>
        <w:spacing w:before="0" w:after="0"/>
        <w:rPr>
          <w:noProof/>
        </w:rPr>
      </w:pPr>
      <w:r w:rsidRPr="00057FB8">
        <w:rPr>
          <w:noProof/>
        </w:rPr>
        <w:t xml:space="preserve">La articolul 3 se impune statelor membre să transpună articolul 1 din prezenta directivă cel târziu până la 31 decembrie 2025 și să comunice Comisiei textul măsurilor lor de transpunere. </w:t>
      </w:r>
    </w:p>
    <w:p w14:paraId="7A3D7D4B" w14:textId="77777777" w:rsidR="00D4127B" w:rsidRPr="00057FB8" w:rsidRDefault="00D4127B" w:rsidP="004A73DD">
      <w:pPr>
        <w:spacing w:before="0" w:after="0"/>
        <w:rPr>
          <w:noProof/>
        </w:rPr>
      </w:pPr>
    </w:p>
    <w:p w14:paraId="23FC9E95" w14:textId="77777777" w:rsidR="00F74219" w:rsidRPr="00057FB8" w:rsidRDefault="00D1123F" w:rsidP="004A73DD">
      <w:pPr>
        <w:spacing w:before="0" w:after="0"/>
        <w:rPr>
          <w:noProof/>
        </w:rPr>
      </w:pPr>
      <w:r w:rsidRPr="00057FB8">
        <w:rPr>
          <w:noProof/>
        </w:rPr>
        <w:t xml:space="preserve">La articolul 4 se precizează că prezenta directivă intră în vigoare în ziua următoare datei publicării sale în </w:t>
      </w:r>
      <w:r w:rsidRPr="00057FB8">
        <w:rPr>
          <w:i/>
          <w:noProof/>
        </w:rPr>
        <w:t>Jurnalul Oficial al Uniunii Europene</w:t>
      </w:r>
      <w:r w:rsidRPr="00057FB8">
        <w:rPr>
          <w:noProof/>
        </w:rPr>
        <w:t>.</w:t>
      </w:r>
    </w:p>
    <w:p w14:paraId="2D5C892E" w14:textId="77777777" w:rsidR="006C7F87" w:rsidRPr="00057FB8" w:rsidRDefault="00AA6233" w:rsidP="004A73DD">
      <w:pPr>
        <w:spacing w:before="0" w:after="0"/>
        <w:rPr>
          <w:noProof/>
        </w:rPr>
        <w:sectPr w:rsidR="006C7F87" w:rsidRPr="00057FB8" w:rsidSect="0033790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057FB8">
        <w:rPr>
          <w:noProof/>
        </w:rPr>
        <w:t xml:space="preserve"> </w:t>
      </w:r>
    </w:p>
    <w:p w14:paraId="0EC6F386" w14:textId="5215ED5A" w:rsidR="001F5A76" w:rsidRPr="00057FB8" w:rsidRDefault="00057FB8" w:rsidP="00057FB8">
      <w:pPr>
        <w:pStyle w:val="Rfrenceinterinstitutionnelle"/>
        <w:rPr>
          <w:noProof/>
        </w:rPr>
      </w:pPr>
      <w:r>
        <w:rPr>
          <w:noProof/>
        </w:rPr>
        <w:t>2025/0044 (COD)</w:t>
      </w:r>
    </w:p>
    <w:p w14:paraId="52077563" w14:textId="56A5FE66" w:rsidR="006C7F87" w:rsidRPr="00057FB8" w:rsidRDefault="00057FB8" w:rsidP="00057FB8">
      <w:pPr>
        <w:pStyle w:val="Statut"/>
        <w:rPr>
          <w:noProof/>
        </w:rPr>
      </w:pPr>
      <w:r w:rsidRPr="00057FB8">
        <w:rPr>
          <w:noProof/>
        </w:rPr>
        <w:t>Propunere de</w:t>
      </w:r>
    </w:p>
    <w:p w14:paraId="032F4257" w14:textId="3C97F976" w:rsidR="006C7F87" w:rsidRPr="00057FB8" w:rsidRDefault="00057FB8" w:rsidP="00057FB8">
      <w:pPr>
        <w:pStyle w:val="Typedudocument"/>
        <w:rPr>
          <w:noProof/>
        </w:rPr>
      </w:pPr>
      <w:r w:rsidRPr="00057FB8">
        <w:rPr>
          <w:noProof/>
        </w:rPr>
        <w:t>DIRECTIVĂ A PARLAMENTULUI EUROPEAN ȘI A CONSILIULUI</w:t>
      </w:r>
    </w:p>
    <w:p w14:paraId="4710C23F" w14:textId="0A51DD88" w:rsidR="006C7F87" w:rsidRPr="00057FB8" w:rsidRDefault="00057FB8" w:rsidP="00057FB8">
      <w:pPr>
        <w:pStyle w:val="Titreobjet"/>
        <w:rPr>
          <w:noProof/>
        </w:rPr>
      </w:pPr>
      <w:r w:rsidRPr="00057FB8">
        <w:rPr>
          <w:noProof/>
        </w:rPr>
        <w:t>de modificare a Directivelor (UE) 2022/2464 și (UE) 2024/1760 în ceea ce privește datele de la care statele membre trebuie să aplice anumite cerințe de raportare și de diligență necesară în materie de durabilitate a întreprinderilor</w:t>
      </w:r>
    </w:p>
    <w:p w14:paraId="68F8BF08" w14:textId="4FDC1345" w:rsidR="006D1D06" w:rsidRPr="00057FB8" w:rsidRDefault="00057FB8" w:rsidP="00057FB8">
      <w:pPr>
        <w:pStyle w:val="IntrtEEE"/>
        <w:rPr>
          <w:noProof/>
        </w:rPr>
      </w:pPr>
      <w:r w:rsidRPr="00057FB8">
        <w:rPr>
          <w:noProof/>
        </w:rPr>
        <w:t>(Text cu relevanță pentru SEE)</w:t>
      </w:r>
    </w:p>
    <w:p w14:paraId="29C58613" w14:textId="77777777" w:rsidR="006C7F87" w:rsidRPr="00057FB8" w:rsidRDefault="006C7F87" w:rsidP="0094068A">
      <w:pPr>
        <w:pStyle w:val="Institutionquiagit"/>
        <w:rPr>
          <w:noProof/>
        </w:rPr>
      </w:pPr>
      <w:r w:rsidRPr="00057FB8">
        <w:rPr>
          <w:noProof/>
        </w:rPr>
        <w:t>PARLAMENTUL EUROPEAN ȘI CONSILIUL UNIUNII EUROPENE,</w:t>
      </w:r>
    </w:p>
    <w:p w14:paraId="19B55D86" w14:textId="77777777" w:rsidR="006C7F87" w:rsidRPr="00057FB8" w:rsidRDefault="006C7F87" w:rsidP="0094068A">
      <w:pPr>
        <w:rPr>
          <w:noProof/>
        </w:rPr>
      </w:pPr>
      <w:r w:rsidRPr="00057FB8">
        <w:rPr>
          <w:noProof/>
        </w:rPr>
        <w:t>având în vedere Tratatul privind funcționarea Uniunii Europene, în special articolele 50 și 114,</w:t>
      </w:r>
    </w:p>
    <w:p w14:paraId="5DD19041" w14:textId="77777777" w:rsidR="006C7F87" w:rsidRPr="00057FB8" w:rsidRDefault="006C7F87" w:rsidP="0094068A">
      <w:pPr>
        <w:rPr>
          <w:noProof/>
        </w:rPr>
      </w:pPr>
      <w:r w:rsidRPr="00057FB8">
        <w:rPr>
          <w:noProof/>
        </w:rPr>
        <w:t>având în vedere propunerea Comisiei Europene,</w:t>
      </w:r>
    </w:p>
    <w:p w14:paraId="4B97FEC1" w14:textId="77777777" w:rsidR="006C7F87" w:rsidRPr="00057FB8" w:rsidRDefault="006C7F87" w:rsidP="0094068A">
      <w:pPr>
        <w:rPr>
          <w:noProof/>
        </w:rPr>
      </w:pPr>
      <w:r w:rsidRPr="00057FB8">
        <w:rPr>
          <w:noProof/>
        </w:rPr>
        <w:t>după transmiterea proiectului de act legislativ parlamentelor naționale,</w:t>
      </w:r>
    </w:p>
    <w:p w14:paraId="21151698" w14:textId="77777777" w:rsidR="006C7F87" w:rsidRPr="00057FB8" w:rsidRDefault="006C7F87" w:rsidP="0094068A">
      <w:pPr>
        <w:rPr>
          <w:noProof/>
        </w:rPr>
      </w:pPr>
      <w:r w:rsidRPr="00057FB8">
        <w:rPr>
          <w:noProof/>
        </w:rPr>
        <w:t>având în vedere avizul Comitetului Economic și Social European</w:t>
      </w:r>
      <w:r w:rsidRPr="00057FB8">
        <w:rPr>
          <w:rStyle w:val="FootnoteReference"/>
          <w:noProof/>
        </w:rPr>
        <w:footnoteReference w:id="19"/>
      </w:r>
      <w:r w:rsidRPr="00057FB8">
        <w:rPr>
          <w:noProof/>
        </w:rPr>
        <w:t xml:space="preserve">, </w:t>
      </w:r>
    </w:p>
    <w:p w14:paraId="41108EF3" w14:textId="77777777" w:rsidR="006C7F87" w:rsidRPr="00057FB8" w:rsidRDefault="006C7F87" w:rsidP="0094068A">
      <w:pPr>
        <w:rPr>
          <w:noProof/>
        </w:rPr>
      </w:pPr>
      <w:r w:rsidRPr="00057FB8">
        <w:rPr>
          <w:noProof/>
        </w:rPr>
        <w:t>hotărând în conformitate cu procedura legislativă ordinară,</w:t>
      </w:r>
    </w:p>
    <w:p w14:paraId="3348CFED" w14:textId="77777777" w:rsidR="006C7F87" w:rsidRPr="00057FB8" w:rsidRDefault="006C7F87" w:rsidP="0094068A">
      <w:pPr>
        <w:rPr>
          <w:noProof/>
        </w:rPr>
      </w:pPr>
      <w:r w:rsidRPr="00057FB8">
        <w:rPr>
          <w:noProof/>
        </w:rPr>
        <w:t>întrucât:</w:t>
      </w:r>
    </w:p>
    <w:p w14:paraId="0B5D942A" w14:textId="6C4D6E38" w:rsidR="00D93D4A" w:rsidRPr="00057FB8" w:rsidRDefault="00327591" w:rsidP="00327591">
      <w:pPr>
        <w:pStyle w:val="ManualConsidrant"/>
        <w:rPr>
          <w:noProof/>
        </w:rPr>
      </w:pPr>
      <w:r w:rsidRPr="00327591">
        <w:rPr>
          <w:noProof/>
        </w:rPr>
        <w:t>(1)</w:t>
      </w:r>
      <w:r w:rsidRPr="00327591">
        <w:rPr>
          <w:noProof/>
        </w:rPr>
        <w:tab/>
      </w:r>
      <w:r w:rsidR="3B0C1D98" w:rsidRPr="00057FB8">
        <w:rPr>
          <w:noProof/>
        </w:rPr>
        <w:t>În comunicarea sa din 11 februarie 2025 intitulată „O Europă mai simplă și mai rapidă: comunicare privind punerea în aplicare și simplificarea”</w:t>
      </w:r>
      <w:r w:rsidR="00F06FCD" w:rsidRPr="00057FB8">
        <w:rPr>
          <w:rStyle w:val="FootnoteReference"/>
          <w:noProof/>
        </w:rPr>
        <w:footnoteReference w:id="20"/>
      </w:r>
      <w:r w:rsidR="3B0C1D98" w:rsidRPr="00057FB8">
        <w:rPr>
          <w:noProof/>
        </w:rPr>
        <w:t>, Comisia trasează o viziune pentru o agendă de punere în aplicare și simplificare menită să aducă îmbunătățiri rapide și vizibile cetățenilor și întreprinderilor pe teren. Pentru aceasta este nevoie nu doar ca lucrurile să fie abordate treptat, ci ca Uniunea să ia măsuri temerare pentru a atinge acest obiectiv. Comisia, Parlamentul European, Consiliul, autoritățile statelor membre de la toate nivelurile și părțile interesate trebuie să colaboreze pentru a raționaliza și a simplifica atât normele Uniunii, cât și normele naționale și regionale și pentru a eficientiza punerea în aplicare a politicilor.</w:t>
      </w:r>
    </w:p>
    <w:p w14:paraId="2009B34D" w14:textId="56328CB9" w:rsidR="006C7F87" w:rsidRPr="00057FB8" w:rsidRDefault="00327591" w:rsidP="00327591">
      <w:pPr>
        <w:pStyle w:val="ManualConsidrant"/>
        <w:rPr>
          <w:noProof/>
        </w:rPr>
      </w:pPr>
      <w:r w:rsidRPr="00327591">
        <w:rPr>
          <w:noProof/>
        </w:rPr>
        <w:t>(2)</w:t>
      </w:r>
      <w:r w:rsidRPr="00327591">
        <w:rPr>
          <w:noProof/>
        </w:rPr>
        <w:tab/>
      </w:r>
      <w:r w:rsidR="6C848968" w:rsidRPr="00057FB8">
        <w:rPr>
          <w:noProof/>
        </w:rPr>
        <w:t>În contextul angajamentului Comisiei de a reduce sarcinile de raportare și de a spori competitivitatea, este necesar să se aducă modificări specifice Directivelor (UE) 2022/2464</w:t>
      </w:r>
      <w:r w:rsidR="0005409B" w:rsidRPr="00057FB8">
        <w:rPr>
          <w:rStyle w:val="FootnoteReference"/>
          <w:noProof/>
        </w:rPr>
        <w:footnoteReference w:id="21"/>
      </w:r>
      <w:r w:rsidR="6C848968" w:rsidRPr="00057FB8">
        <w:rPr>
          <w:noProof/>
        </w:rPr>
        <w:t xml:space="preserve"> și (UE) 2024/1760</w:t>
      </w:r>
      <w:r w:rsidR="005C7196" w:rsidRPr="00057FB8">
        <w:rPr>
          <w:rStyle w:val="FootnoteReference"/>
          <w:noProof/>
        </w:rPr>
        <w:footnoteReference w:id="22"/>
      </w:r>
      <w:r w:rsidR="6C848968" w:rsidRPr="00057FB8">
        <w:rPr>
          <w:noProof/>
        </w:rPr>
        <w:t xml:space="preserve"> ale Parlamentului European și ale Consiliului pentru a atinge aceste obiective, menținând în același timp obiectivele de politică ale Pactului verde</w:t>
      </w:r>
      <w:r w:rsidR="00E6553B" w:rsidRPr="00057FB8">
        <w:rPr>
          <w:rStyle w:val="FootnoteReference"/>
          <w:noProof/>
        </w:rPr>
        <w:footnoteReference w:id="23"/>
      </w:r>
      <w:r w:rsidR="6C848968" w:rsidRPr="00057FB8">
        <w:rPr>
          <w:noProof/>
        </w:rPr>
        <w:t xml:space="preserve"> și ale Planului de acțiune privind finanțarea creșterii durabile</w:t>
      </w:r>
      <w:r w:rsidR="005C7196" w:rsidRPr="00057FB8">
        <w:rPr>
          <w:rStyle w:val="FootnoteReference"/>
          <w:noProof/>
        </w:rPr>
        <w:footnoteReference w:id="24"/>
      </w:r>
      <w:r w:rsidR="6C848968" w:rsidRPr="00057FB8">
        <w:rPr>
          <w:noProof/>
        </w:rPr>
        <w:t xml:space="preserve">. </w:t>
      </w:r>
    </w:p>
    <w:p w14:paraId="2F30529C" w14:textId="1B3187C7" w:rsidR="006C7F87" w:rsidRPr="00057FB8" w:rsidRDefault="00327591" w:rsidP="00327591">
      <w:pPr>
        <w:pStyle w:val="ManualConsidrant"/>
        <w:rPr>
          <w:noProof/>
        </w:rPr>
      </w:pPr>
      <w:r w:rsidRPr="00327591">
        <w:rPr>
          <w:noProof/>
        </w:rPr>
        <w:t>(3)</w:t>
      </w:r>
      <w:r w:rsidRPr="00327591">
        <w:rPr>
          <w:noProof/>
        </w:rPr>
        <w:tab/>
      </w:r>
      <w:r w:rsidR="58D6BACA" w:rsidRPr="00057FB8">
        <w:rPr>
          <w:noProof/>
        </w:rPr>
        <w:t>Articolul 5 alineatul (2) primul paragraf din Directiva (UE) 2022/2464 precizează datele de la care statele membre trebuie să aplice cerințele de raportare privind durabilitatea prevăzute în Directiva 2013/34/UE a Parlamentului European și a Consiliului</w:t>
      </w:r>
      <w:r w:rsidR="0015348C" w:rsidRPr="00057FB8">
        <w:rPr>
          <w:rStyle w:val="FootnoteReference"/>
          <w:noProof/>
        </w:rPr>
        <w:footnoteReference w:id="25"/>
      </w:r>
      <w:r w:rsidR="58D6BACA" w:rsidRPr="00057FB8">
        <w:rPr>
          <w:noProof/>
        </w:rPr>
        <w:t>, cu date diferite în funcție de dimensiunea întreprinderii în cauză. Întreprinderile mari care sunt entități de interes public cu peste 500 de angajați în medie în cursul exercițiului financiar și entitățile de interes public care sunt societăți-mamă ale unui grup mare cu peste 500 de angajați în medie la data întocmirii bilanțului pe bază consolidată în cursul exercițiului financiar trebuie să raporteze în 2025 pentru exercițiile financiare care încep la 1 ianuarie 2024 sau după această dată. Celelalte întreprinderi mari și celelalte societăți-mamă ale unui grup mare trebuie să raporteze în 2026 pentru exercițiile financiare care încep la 1 ianuarie 2025 sau după această dată. Întreprinderile mici și mijlocii – cu excepția microîntreprinderilor –, instituțiile mici și cu un grad redus de complexitate și întreprinderile de (re)asigurare captive trebuie să raporteze în 2027 pentru exercițiile financiare care încep la 1</w:t>
      </w:r>
      <w:r w:rsidR="00741D62">
        <w:rPr>
          <w:noProof/>
        </w:rPr>
        <w:t> </w:t>
      </w:r>
      <w:r w:rsidR="58D6BACA" w:rsidRPr="00057FB8">
        <w:rPr>
          <w:noProof/>
        </w:rPr>
        <w:t>ianuarie 2026 sau după această dată. Având în vedere inițiativele în curs ale Comisiei menite să simplifice anumite obligații existente de raportare privind durabilitatea și să reducă sarcina administrativă aferentă a întreprinderilor, să asigure claritate juridică și să evite ca întreprinderile care au în prezent obligația de a raporta pentru exercițiile financiare ce încep la 1 ianuarie 2025 sau după această dată și la 1</w:t>
      </w:r>
      <w:r w:rsidR="00741D62">
        <w:rPr>
          <w:noProof/>
        </w:rPr>
        <w:t> </w:t>
      </w:r>
      <w:r w:rsidR="58D6BACA" w:rsidRPr="00057FB8">
        <w:rPr>
          <w:noProof/>
        </w:rPr>
        <w:t>ianuarie 2026 sau după această dată să suporte costuri inutile și evitabile, cerințele de raportare privind durabilitatea pentru întreprinderile respective ar trebui amânate cu câte doi ani.</w:t>
      </w:r>
    </w:p>
    <w:p w14:paraId="6BDE0901" w14:textId="37538C13" w:rsidR="00C7534A" w:rsidRPr="00057FB8" w:rsidRDefault="00327591" w:rsidP="00327591">
      <w:pPr>
        <w:pStyle w:val="ManualConsidrant"/>
        <w:rPr>
          <w:noProof/>
          <w:sz w:val="22"/>
        </w:rPr>
      </w:pPr>
      <w:r w:rsidRPr="00327591">
        <w:rPr>
          <w:noProof/>
        </w:rPr>
        <w:t>(4)</w:t>
      </w:r>
      <w:r w:rsidRPr="00327591">
        <w:rPr>
          <w:noProof/>
        </w:rPr>
        <w:tab/>
      </w:r>
      <w:r w:rsidR="64BE5097" w:rsidRPr="00057FB8">
        <w:rPr>
          <w:noProof/>
        </w:rPr>
        <w:t>Articolul 5 alineatul (2) al treilea paragraf din Directiva (UE) 2022/2464 precizează datele de la care statele membre trebuie să aplice cerințele de raportare privind durabilitatea prevăzute în Directiva 2004/109/CE a Parlamentului European și a Consiliului</w:t>
      </w:r>
      <w:r w:rsidR="007B433C" w:rsidRPr="00057FB8">
        <w:rPr>
          <w:rStyle w:val="FootnoteReference"/>
          <w:noProof/>
        </w:rPr>
        <w:footnoteReference w:id="26"/>
      </w:r>
      <w:r w:rsidR="64BE5097" w:rsidRPr="00057FB8">
        <w:rPr>
          <w:noProof/>
        </w:rPr>
        <w:t>, cu date diferite în funcție de dimensiunea emitentului în cauză. Emitenții care sunt întreprinderi mari cu peste 500 de angajați în medie în cursul exercițiului financiar și emitenții care sunt societăți-mamă ale unui grup mare cu peste 500 de angajați în medie la data întocmirii bilanțului pe bază consolidată în cursul exercițiului financiar trebuie să raporteze în 2025 pentru exercițiile financiare care încep la 1</w:t>
      </w:r>
      <w:r w:rsidR="00741D62">
        <w:rPr>
          <w:noProof/>
        </w:rPr>
        <w:t> </w:t>
      </w:r>
      <w:r w:rsidR="64BE5097" w:rsidRPr="00057FB8">
        <w:rPr>
          <w:noProof/>
        </w:rPr>
        <w:t>ianuarie 2024 sau după această dată. Ceilalți emitenți care sunt întreprinderi mari și ceilalți emitenți care sunt societăți-mamă ale unui grup mare trebuie să raporteze în 2026 pentru exercițiile financiare care încep la 1 ianuarie 2025 sau după această dată. Emitenții care sunt întreprinderi mici și mijlocii – cu excepția microîntreprinderilor –, instituții mici și cu un grad redus de complexitate și întreprinderi de (re)asigurare captive trebuie să raporteze în 2027 pentru exercițiile financiare care încep la 1</w:t>
      </w:r>
      <w:r w:rsidR="00741D62">
        <w:rPr>
          <w:noProof/>
        </w:rPr>
        <w:t> </w:t>
      </w:r>
      <w:r w:rsidR="64BE5097" w:rsidRPr="00057FB8">
        <w:rPr>
          <w:noProof/>
        </w:rPr>
        <w:t xml:space="preserve">ianuarie 2026 sau după această dată. Având în vedere inițiativele în curs ale Comisiei menite să simplifice anumite obligații existente de raportare privind durabilitatea și să reducă sarcina administrativă aferentă a întreprinderilor, să asigure claritate juridică și să evite ca emitenții care au în prezent obligația de a raporta pentru exercițiile financiare ce încep la 1 ianuarie 2025 sau după această dată și la 1 ianuarie 2026 sau după această dată să suporte costuri inutile și evitabile, cerințele de raportare privind durabilitatea pentru emitenții respectivi ar trebui amânate cu câte doi ani. </w:t>
      </w:r>
    </w:p>
    <w:p w14:paraId="400C5F81" w14:textId="64E16E5B" w:rsidR="00C7534A" w:rsidRPr="00057FB8" w:rsidRDefault="00327591" w:rsidP="00327591">
      <w:pPr>
        <w:pStyle w:val="ManualConsidrant"/>
        <w:rPr>
          <w:noProof/>
          <w:sz w:val="22"/>
        </w:rPr>
      </w:pPr>
      <w:r w:rsidRPr="00327591">
        <w:rPr>
          <w:noProof/>
        </w:rPr>
        <w:t>(5)</w:t>
      </w:r>
      <w:r w:rsidRPr="00327591">
        <w:rPr>
          <w:noProof/>
        </w:rPr>
        <w:tab/>
      </w:r>
      <w:r w:rsidR="1E77F9F9" w:rsidRPr="00057FB8">
        <w:rPr>
          <w:noProof/>
        </w:rPr>
        <w:t>Data până la care statele membre trebuie să aplice Directiva (UE) 2024/1760 ar trebui amânată cu un an pentru primul grup de societăți care intră în domeniul de aplicare al directivei respective, pentru a acorda întreprinderilor mai mult timp să se pregătească pentru cerințele directivei respective și pentru a le oferi posibilitatea de a lua în considerare orientările care urmează să fie emise de Comisie cu privire la modul în care ar trebui să își îndeplinească obligațiile de diligență în mod practic.</w:t>
      </w:r>
    </w:p>
    <w:p w14:paraId="35B8A052" w14:textId="7D69F4CE" w:rsidR="002E2D55" w:rsidRPr="00057FB8" w:rsidRDefault="00327591" w:rsidP="00327591">
      <w:pPr>
        <w:pStyle w:val="ManualConsidrant"/>
        <w:rPr>
          <w:noProof/>
        </w:rPr>
      </w:pPr>
      <w:r w:rsidRPr="00327591">
        <w:rPr>
          <w:noProof/>
        </w:rPr>
        <w:t>(6)</w:t>
      </w:r>
      <w:r w:rsidRPr="00327591">
        <w:rPr>
          <w:noProof/>
        </w:rPr>
        <w:tab/>
      </w:r>
      <w:r w:rsidR="1E77F9F9" w:rsidRPr="00057FB8">
        <w:rPr>
          <w:noProof/>
        </w:rPr>
        <w:t>În plus, având în vedere propunerea legislativă paralelă care vizează simplificarea cadrului de durabilitate și reducerea sarcinilor pentru întreprinderi, termenul până la care statele membre trebuie să transpună Directiva (UE) 2024/1760 ar trebui prelungit cu un an pentru a se ține seama de posibilele întârzieri în eforturile lor de transpunere în curs, ca urmare a posibilelor modificări ale directivei respective.</w:t>
      </w:r>
    </w:p>
    <w:p w14:paraId="06EB3612" w14:textId="2EFEBB73" w:rsidR="002E2D55" w:rsidRPr="00057FB8" w:rsidRDefault="00327591" w:rsidP="00327591">
      <w:pPr>
        <w:pStyle w:val="ManualConsidrant"/>
        <w:rPr>
          <w:noProof/>
        </w:rPr>
      </w:pPr>
      <w:r w:rsidRPr="00327591">
        <w:rPr>
          <w:noProof/>
        </w:rPr>
        <w:t>(7)</w:t>
      </w:r>
      <w:r w:rsidRPr="00327591">
        <w:rPr>
          <w:noProof/>
        </w:rPr>
        <w:tab/>
      </w:r>
      <w:r w:rsidR="5260DB5D" w:rsidRPr="00057FB8">
        <w:rPr>
          <w:noProof/>
          <w:shd w:val="clear" w:color="auto" w:fill="FFFFFF"/>
        </w:rPr>
        <w:t>Întrucât obiectivele prezentei directive nu pot fi realizate în mod satisfăcător de către statele membre, dar, având în vedere amploarea și efectele acțiunii, pot fi realizate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respectiv, prezenta directivă nu depășește ceea ce este necesar pentru realizarea acestor obiective.</w:t>
      </w:r>
    </w:p>
    <w:p w14:paraId="08860092" w14:textId="41A69714" w:rsidR="00922DE6" w:rsidRPr="00057FB8" w:rsidRDefault="00327591" w:rsidP="00327591">
      <w:pPr>
        <w:pStyle w:val="ManualConsidrant"/>
        <w:rPr>
          <w:noProof/>
        </w:rPr>
      </w:pPr>
      <w:r w:rsidRPr="00327591">
        <w:rPr>
          <w:noProof/>
        </w:rPr>
        <w:t>(8)</w:t>
      </w:r>
      <w:r w:rsidRPr="00327591">
        <w:rPr>
          <w:noProof/>
        </w:rPr>
        <w:tab/>
      </w:r>
      <w:r w:rsidR="5260DB5D" w:rsidRPr="00057FB8">
        <w:rPr>
          <w:noProof/>
        </w:rPr>
        <w:t>Prin urmare, Directivele (UE) 2022/2464 și (UE) 2024/1760 ar trebui modificate în consecință.</w:t>
      </w:r>
    </w:p>
    <w:p w14:paraId="17D0A514" w14:textId="3206959E" w:rsidR="002E2D55" w:rsidRPr="00057FB8" w:rsidRDefault="00327591" w:rsidP="00327591">
      <w:pPr>
        <w:pStyle w:val="ManualConsidrant"/>
        <w:rPr>
          <w:noProof/>
        </w:rPr>
      </w:pPr>
      <w:r w:rsidRPr="00327591">
        <w:rPr>
          <w:noProof/>
        </w:rPr>
        <w:t>(9)</w:t>
      </w:r>
      <w:r w:rsidRPr="00327591">
        <w:rPr>
          <w:noProof/>
        </w:rPr>
        <w:tab/>
      </w:r>
      <w:r w:rsidR="4D4898BF" w:rsidRPr="00057FB8">
        <w:rPr>
          <w:noProof/>
        </w:rPr>
        <w:t>Din motive de urgență și pentru a asigura securitatea juridică cât mai curând posibil, prezenta directivă ar trebui să intre în vigoare în ziua următoare datei publicării sale,</w:t>
      </w:r>
    </w:p>
    <w:p w14:paraId="3A59A10B" w14:textId="77777777" w:rsidR="006C7F87" w:rsidRPr="00057FB8" w:rsidRDefault="006C7F87" w:rsidP="0094068A">
      <w:pPr>
        <w:pStyle w:val="Formuledadoption"/>
        <w:rPr>
          <w:noProof/>
        </w:rPr>
      </w:pPr>
      <w:r w:rsidRPr="00057FB8">
        <w:rPr>
          <w:noProof/>
        </w:rPr>
        <w:t>ADOPTĂ PREZENTA DIRECTIVĂ:</w:t>
      </w:r>
    </w:p>
    <w:p w14:paraId="1B84065B" w14:textId="77777777" w:rsidR="006C7F87" w:rsidRPr="00057FB8" w:rsidRDefault="006C7F87" w:rsidP="0094068A">
      <w:pPr>
        <w:pStyle w:val="Titrearticle"/>
        <w:rPr>
          <w:noProof/>
        </w:rPr>
      </w:pPr>
      <w:r w:rsidRPr="00057FB8">
        <w:rPr>
          <w:noProof/>
        </w:rPr>
        <w:t>Articolul 1</w:t>
      </w:r>
    </w:p>
    <w:p w14:paraId="32F47EFE" w14:textId="77777777" w:rsidR="006C7F87" w:rsidRPr="00057FB8" w:rsidRDefault="001C785F" w:rsidP="000D5AA7">
      <w:pPr>
        <w:pStyle w:val="Titrearticle"/>
        <w:rPr>
          <w:b/>
          <w:bCs/>
          <w:i w:val="0"/>
          <w:iCs/>
          <w:noProof/>
        </w:rPr>
      </w:pPr>
      <w:r w:rsidRPr="00057FB8">
        <w:rPr>
          <w:b/>
          <w:i w:val="0"/>
          <w:noProof/>
        </w:rPr>
        <w:t>Modificări aduse Directivei (UE) 2022/2464</w:t>
      </w:r>
    </w:p>
    <w:p w14:paraId="68B89702" w14:textId="77777777" w:rsidR="000D5AA7" w:rsidRPr="00057FB8" w:rsidRDefault="000C13CE" w:rsidP="000D5AA7">
      <w:pPr>
        <w:rPr>
          <w:noProof/>
        </w:rPr>
      </w:pPr>
      <w:r w:rsidRPr="00057FB8">
        <w:rPr>
          <w:noProof/>
        </w:rPr>
        <w:t>În Directiva (UE) 2022/2464, articolul 5 alineatul (2) se modifică după cum urmează:</w:t>
      </w:r>
    </w:p>
    <w:p w14:paraId="0C862589" w14:textId="2759906E" w:rsidR="00922DE6" w:rsidRPr="00057FB8" w:rsidRDefault="00327591" w:rsidP="00327591">
      <w:pPr>
        <w:pStyle w:val="Point0"/>
        <w:rPr>
          <w:noProof/>
        </w:rPr>
      </w:pPr>
      <w:r w:rsidRPr="00327591">
        <w:rPr>
          <w:noProof/>
        </w:rPr>
        <w:t>(1)</w:t>
      </w:r>
      <w:r w:rsidRPr="00327591">
        <w:rPr>
          <w:noProof/>
        </w:rPr>
        <w:tab/>
      </w:r>
      <w:r w:rsidR="0059025E" w:rsidRPr="00057FB8">
        <w:rPr>
          <w:noProof/>
        </w:rPr>
        <w:t>Primul paragraf se modifică după cum urmează:</w:t>
      </w:r>
    </w:p>
    <w:p w14:paraId="115AAB46" w14:textId="3C3A65A0" w:rsidR="00820DCA" w:rsidRPr="00057FB8" w:rsidRDefault="00327591" w:rsidP="00327591">
      <w:pPr>
        <w:pStyle w:val="Point1"/>
        <w:rPr>
          <w:noProof/>
        </w:rPr>
      </w:pPr>
      <w:r w:rsidRPr="00327591">
        <w:rPr>
          <w:noProof/>
        </w:rPr>
        <w:t>(a)</w:t>
      </w:r>
      <w:r w:rsidRPr="00327591">
        <w:rPr>
          <w:noProof/>
        </w:rPr>
        <w:tab/>
      </w:r>
      <w:r w:rsidR="00922DE6" w:rsidRPr="00057FB8">
        <w:rPr>
          <w:noProof/>
        </w:rPr>
        <w:t>la litera (b), partea introductivă se înlocuiește cu următorul text:</w:t>
      </w:r>
    </w:p>
    <w:p w14:paraId="5E69603D" w14:textId="77777777" w:rsidR="00820DCA" w:rsidRPr="00057FB8" w:rsidRDefault="00820DCA" w:rsidP="000A30FC">
      <w:pPr>
        <w:ind w:left="1418"/>
        <w:rPr>
          <w:noProof/>
        </w:rPr>
      </w:pPr>
      <w:r w:rsidRPr="00057FB8">
        <w:rPr>
          <w:noProof/>
        </w:rPr>
        <w:t>„pentru exercițiile financiare care încep la 1 ianuarie 2027 sau după această dată:”;</w:t>
      </w:r>
    </w:p>
    <w:p w14:paraId="0B9DECC3" w14:textId="15D8E0F2" w:rsidR="00573C2F" w:rsidRPr="00057FB8" w:rsidRDefault="00327591" w:rsidP="00327591">
      <w:pPr>
        <w:pStyle w:val="Point1"/>
        <w:rPr>
          <w:noProof/>
        </w:rPr>
      </w:pPr>
      <w:r w:rsidRPr="00327591">
        <w:rPr>
          <w:noProof/>
        </w:rPr>
        <w:t>(b)</w:t>
      </w:r>
      <w:r w:rsidRPr="00327591">
        <w:rPr>
          <w:noProof/>
        </w:rPr>
        <w:tab/>
      </w:r>
      <w:r w:rsidR="007C593B" w:rsidRPr="00057FB8">
        <w:rPr>
          <w:noProof/>
        </w:rPr>
        <w:t>la litera (c), partea introductivă se înlocuiește cu următorul text:</w:t>
      </w:r>
    </w:p>
    <w:p w14:paraId="4490BE32" w14:textId="77777777" w:rsidR="00573C2F" w:rsidRPr="00057FB8" w:rsidRDefault="00573C2F" w:rsidP="000A30FC">
      <w:pPr>
        <w:ind w:left="1418"/>
        <w:rPr>
          <w:noProof/>
        </w:rPr>
      </w:pPr>
      <w:r w:rsidRPr="00057FB8">
        <w:rPr>
          <w:noProof/>
        </w:rPr>
        <w:t>„pentru exercițiile financiare care încep la 1 ianuarie 2028 sau după această dată:”.</w:t>
      </w:r>
    </w:p>
    <w:p w14:paraId="7FDD5755" w14:textId="653AA500" w:rsidR="000869E9" w:rsidRPr="00057FB8" w:rsidRDefault="00327591" w:rsidP="00327591">
      <w:pPr>
        <w:pStyle w:val="Point0"/>
        <w:rPr>
          <w:noProof/>
        </w:rPr>
      </w:pPr>
      <w:r w:rsidRPr="00327591">
        <w:rPr>
          <w:noProof/>
        </w:rPr>
        <w:t>(2)</w:t>
      </w:r>
      <w:r w:rsidRPr="00327591">
        <w:rPr>
          <w:noProof/>
        </w:rPr>
        <w:tab/>
      </w:r>
      <w:r w:rsidR="0059025E" w:rsidRPr="00057FB8">
        <w:rPr>
          <w:noProof/>
        </w:rPr>
        <w:t>Al treilea paragraf se modifică după cum urmează:</w:t>
      </w:r>
    </w:p>
    <w:p w14:paraId="696C498B" w14:textId="5E6F0C60" w:rsidR="00573C2F" w:rsidRPr="00057FB8" w:rsidRDefault="00327591" w:rsidP="00327591">
      <w:pPr>
        <w:pStyle w:val="Point1"/>
        <w:rPr>
          <w:noProof/>
        </w:rPr>
      </w:pPr>
      <w:r w:rsidRPr="00327591">
        <w:rPr>
          <w:noProof/>
        </w:rPr>
        <w:t>(a)</w:t>
      </w:r>
      <w:r w:rsidRPr="00327591">
        <w:rPr>
          <w:noProof/>
        </w:rPr>
        <w:tab/>
      </w:r>
      <w:r w:rsidR="003F368B" w:rsidRPr="00057FB8">
        <w:rPr>
          <w:noProof/>
        </w:rPr>
        <w:t>la litera (b), partea introductivă se înlocuiește cu următorul text:</w:t>
      </w:r>
    </w:p>
    <w:p w14:paraId="7A4E4876" w14:textId="77777777" w:rsidR="00573C2F" w:rsidRPr="00057FB8" w:rsidRDefault="00573C2F" w:rsidP="000A30FC">
      <w:pPr>
        <w:ind w:left="1418"/>
        <w:rPr>
          <w:noProof/>
        </w:rPr>
      </w:pPr>
      <w:r w:rsidRPr="00057FB8">
        <w:rPr>
          <w:noProof/>
        </w:rPr>
        <w:t>„pentru exercițiile financiare care încep la 1 ianuarie 2027 sau după această dată:”;</w:t>
      </w:r>
    </w:p>
    <w:p w14:paraId="283ED772" w14:textId="7493A006" w:rsidR="00573C2F" w:rsidRPr="00057FB8" w:rsidRDefault="00327591" w:rsidP="00327591">
      <w:pPr>
        <w:pStyle w:val="Point1"/>
        <w:rPr>
          <w:noProof/>
        </w:rPr>
      </w:pPr>
      <w:r w:rsidRPr="00327591">
        <w:rPr>
          <w:noProof/>
        </w:rPr>
        <w:t>(b)</w:t>
      </w:r>
      <w:r w:rsidRPr="00327591">
        <w:rPr>
          <w:noProof/>
        </w:rPr>
        <w:tab/>
      </w:r>
      <w:r w:rsidR="003F368B" w:rsidRPr="00057FB8">
        <w:rPr>
          <w:noProof/>
        </w:rPr>
        <w:t>la litera (c), partea introductivă se înlocuiește cu următorul text:</w:t>
      </w:r>
    </w:p>
    <w:p w14:paraId="0DDBFE91" w14:textId="77777777" w:rsidR="00573C2F" w:rsidRPr="00057FB8" w:rsidRDefault="00573C2F" w:rsidP="000A30FC">
      <w:pPr>
        <w:ind w:left="1418"/>
        <w:rPr>
          <w:noProof/>
        </w:rPr>
      </w:pPr>
      <w:r w:rsidRPr="00057FB8">
        <w:rPr>
          <w:noProof/>
        </w:rPr>
        <w:t>„pentru exercițiile financiare care încep la 1 ianuarie 2028 sau după această dată:”.</w:t>
      </w:r>
    </w:p>
    <w:p w14:paraId="4BC1C576" w14:textId="77777777" w:rsidR="000D5AA7" w:rsidRPr="00057FB8" w:rsidRDefault="000D5AA7" w:rsidP="000D5AA7">
      <w:pPr>
        <w:pStyle w:val="Titrearticle"/>
        <w:rPr>
          <w:noProof/>
        </w:rPr>
      </w:pPr>
      <w:r w:rsidRPr="00057FB8">
        <w:rPr>
          <w:noProof/>
        </w:rPr>
        <w:t>Articolul 2</w:t>
      </w:r>
    </w:p>
    <w:p w14:paraId="63C10FF7" w14:textId="77777777" w:rsidR="000D5AA7" w:rsidRPr="00057FB8" w:rsidRDefault="000D5AA7" w:rsidP="000D5AA7">
      <w:pPr>
        <w:pStyle w:val="Titrearticle"/>
        <w:rPr>
          <w:b/>
          <w:bCs/>
          <w:i w:val="0"/>
          <w:iCs/>
          <w:noProof/>
        </w:rPr>
      </w:pPr>
      <w:r w:rsidRPr="00057FB8">
        <w:rPr>
          <w:b/>
          <w:i w:val="0"/>
          <w:noProof/>
        </w:rPr>
        <w:t>Modificări aduse Directivei (UE) 2024/1760</w:t>
      </w:r>
    </w:p>
    <w:p w14:paraId="008E573E" w14:textId="77777777" w:rsidR="00046A65" w:rsidRPr="00057FB8" w:rsidRDefault="003D2B3B" w:rsidP="00EA3B38">
      <w:pPr>
        <w:rPr>
          <w:noProof/>
        </w:rPr>
      </w:pPr>
      <w:r w:rsidRPr="00057FB8">
        <w:rPr>
          <w:noProof/>
        </w:rPr>
        <w:t>La articolul 37 alineatul (1) din Directiva (UE) 2024/1760, primul și al doilea paragraf se înlocuiesc cu următorul text:</w:t>
      </w:r>
    </w:p>
    <w:p w14:paraId="6FB59733" w14:textId="77777777" w:rsidR="00046A65" w:rsidRPr="00057FB8" w:rsidRDefault="00ED6798" w:rsidP="002002BC">
      <w:pPr>
        <w:rPr>
          <w:noProof/>
        </w:rPr>
      </w:pPr>
      <w:r w:rsidRPr="00057FB8">
        <w:rPr>
          <w:noProof/>
        </w:rPr>
        <w:t>„Statele membre adoptă și publică până la 26 iulie 2027 actele cu putere de lege și actele administrative necesare pentru a se conforma prezentei directive. Statele membre comunică de îndată Comisiei textul dispozițiilor respective.</w:t>
      </w:r>
    </w:p>
    <w:p w14:paraId="247669C7" w14:textId="77777777" w:rsidR="00046A65" w:rsidRPr="00057FB8" w:rsidRDefault="00046A65" w:rsidP="002002BC">
      <w:pPr>
        <w:rPr>
          <w:noProof/>
        </w:rPr>
      </w:pPr>
      <w:r w:rsidRPr="00057FB8">
        <w:rPr>
          <w:noProof/>
        </w:rPr>
        <w:t>Statele membre aplică dispozițiile respective după cum urmează: </w:t>
      </w:r>
    </w:p>
    <w:p w14:paraId="6DC4CC09" w14:textId="3D39FC5F" w:rsidR="00725A9E" w:rsidRPr="00057FB8" w:rsidRDefault="00327591" w:rsidP="00327591">
      <w:pPr>
        <w:pStyle w:val="Point0"/>
        <w:rPr>
          <w:noProof/>
        </w:rPr>
      </w:pPr>
      <w:r w:rsidRPr="00327591">
        <w:rPr>
          <w:noProof/>
        </w:rPr>
        <w:t>(a)</w:t>
      </w:r>
      <w:r w:rsidRPr="00327591">
        <w:rPr>
          <w:noProof/>
        </w:rPr>
        <w:tab/>
      </w:r>
      <w:r w:rsidR="00472108" w:rsidRPr="00057FB8">
        <w:rPr>
          <w:noProof/>
        </w:rPr>
        <w:t>de la 26 iulie 2028 în ceea ce privește întreprinderile menționate la articolul 2 alineatul (1) literele (a) și (b) care sunt constituite în conformitate cu legislația statului membru și care au avut, în medie, peste 3 000 de angajați și au generat o cifră de afaceri netă la nivel mondial de peste 900 000 000 EUR în ultimul exercițiu financiar anterior datei de 26 iulie 2028 pentru care situațiile financiare anuale au fost sau ar fi trebuit să fie adoptate, cu excepția măsurilor necesare pentru a se conforma articolului 16, pe care statele membre le aplică întreprinderilor respective pentru exercițiile financiare care încep la 1 ianuarie 2029 sau ulterior;</w:t>
      </w:r>
    </w:p>
    <w:p w14:paraId="31D45FD2" w14:textId="5450DCF8" w:rsidR="00472108" w:rsidRPr="00057FB8" w:rsidRDefault="00327591" w:rsidP="00327591">
      <w:pPr>
        <w:pStyle w:val="Point0"/>
        <w:rPr>
          <w:noProof/>
        </w:rPr>
      </w:pPr>
      <w:r w:rsidRPr="00327591">
        <w:rPr>
          <w:noProof/>
        </w:rPr>
        <w:t>(b)</w:t>
      </w:r>
      <w:r w:rsidRPr="00327591">
        <w:rPr>
          <w:noProof/>
        </w:rPr>
        <w:tab/>
      </w:r>
      <w:r w:rsidR="00472108" w:rsidRPr="00057FB8">
        <w:rPr>
          <w:noProof/>
        </w:rPr>
        <w:t>de la 26 iulie 2028 în ceea ce privește întreprinderile menționate la articolul 2 alineatul (2) literele (a) și (b) care sunt constituite în conformitate cu legislația unei țări terțe și care au generat o cifră de afaceri netă de peste 900 000 000 EUR în Uniune în exercițiul financiar care precedă ultimului exercițiu financiar anterior datei de 26 iulie 2028, cu excepția măsurilor necesare pentru a se conforma articolului 16, pe care statele membre le aplică întreprinderilor respective pentru exercițiile financiare care încep la 1 ianuarie 2029 sau ulterior;</w:t>
      </w:r>
    </w:p>
    <w:p w14:paraId="3B6CBA28" w14:textId="3DD94C4C" w:rsidR="00472108" w:rsidRPr="00057FB8" w:rsidRDefault="00327591" w:rsidP="00327591">
      <w:pPr>
        <w:pStyle w:val="Point0"/>
        <w:rPr>
          <w:noProof/>
        </w:rPr>
      </w:pPr>
      <w:r w:rsidRPr="00327591">
        <w:rPr>
          <w:noProof/>
        </w:rPr>
        <w:t>(c)</w:t>
      </w:r>
      <w:r w:rsidRPr="00327591">
        <w:rPr>
          <w:noProof/>
        </w:rPr>
        <w:tab/>
      </w:r>
      <w:r w:rsidR="00472108" w:rsidRPr="00057FB8">
        <w:rPr>
          <w:noProof/>
        </w:rPr>
        <w:t>de la 26 iulie 2029 în ceea ce privește toate celelalte întreprinderi menționate la articolul 2 alineatul (1) literele (a) și (b) și la articolul 2 alineatul (2) literele (a) și (b) și întreprinderile menționate la articolul 2 alineatul (1) litera (c) și la articolul 2 alineatul (2) litera (c), cu excepția măsurilor necesare pentru a se conforma articolului 16, pe care statele membre le aplică întreprinderilor respective pentru exercițiile financiare care încep la 1 ianuarie 2030 sau ulterior.”</w:t>
      </w:r>
    </w:p>
    <w:p w14:paraId="552E5337" w14:textId="77777777" w:rsidR="006C7F87" w:rsidRPr="00057FB8" w:rsidRDefault="006C7F87" w:rsidP="0094068A">
      <w:pPr>
        <w:pStyle w:val="Titrearticle"/>
        <w:keepLines/>
        <w:rPr>
          <w:noProof/>
        </w:rPr>
      </w:pPr>
      <w:r w:rsidRPr="00057FB8">
        <w:rPr>
          <w:noProof/>
        </w:rPr>
        <w:t xml:space="preserve">Articolul 3 </w:t>
      </w:r>
    </w:p>
    <w:p w14:paraId="6D3B5825" w14:textId="77777777" w:rsidR="006C7F87" w:rsidRPr="00057FB8" w:rsidRDefault="00787171" w:rsidP="00787171">
      <w:pPr>
        <w:pStyle w:val="Titrearticle"/>
        <w:rPr>
          <w:b/>
          <w:bCs/>
          <w:i w:val="0"/>
          <w:iCs/>
          <w:noProof/>
        </w:rPr>
      </w:pPr>
      <w:r w:rsidRPr="00057FB8">
        <w:rPr>
          <w:b/>
          <w:i w:val="0"/>
          <w:noProof/>
        </w:rPr>
        <w:t>Transpunere</w:t>
      </w:r>
    </w:p>
    <w:p w14:paraId="18B16440" w14:textId="51CF2046" w:rsidR="006C7F87" w:rsidRPr="00057FB8" w:rsidRDefault="006C7F87" w:rsidP="0094068A">
      <w:pPr>
        <w:pStyle w:val="ManualNumPar1"/>
        <w:rPr>
          <w:noProof/>
        </w:rPr>
      </w:pPr>
      <w:r w:rsidRPr="00057FB8">
        <w:rPr>
          <w:noProof/>
        </w:rPr>
        <w:t>(1)</w:t>
      </w:r>
      <w:r w:rsidRPr="00057FB8">
        <w:rPr>
          <w:noProof/>
        </w:rPr>
        <w:tab/>
        <w:t>Statele membre asigură intrarea în vigoare a actelor cu putere de lege și a actelor administrative necesare pentru a se conforma prezentei directive cel târziu până la 31</w:t>
      </w:r>
      <w:r w:rsidR="00741D62">
        <w:rPr>
          <w:noProof/>
        </w:rPr>
        <w:t> </w:t>
      </w:r>
      <w:r w:rsidRPr="00057FB8">
        <w:rPr>
          <w:noProof/>
        </w:rPr>
        <w:t>decembrie 2025. Statele membre comunică de îndată Comisiei textul acestor acte.</w:t>
      </w:r>
    </w:p>
    <w:p w14:paraId="685FB8CC" w14:textId="77777777" w:rsidR="006C7F87" w:rsidRPr="00057FB8" w:rsidRDefault="006C7F87" w:rsidP="0094068A">
      <w:pPr>
        <w:pStyle w:val="Text1"/>
        <w:rPr>
          <w:noProof/>
        </w:rPr>
      </w:pPr>
      <w:r w:rsidRPr="00057FB8">
        <w:rPr>
          <w:noProof/>
        </w:rPr>
        <w:t>Atunci când statele membre adoptă aceste acte, ele cuprind o trimitere la prezenta directivă sau sunt însoțite de o astfel de trimitere la data publicării lor oficiale. Statele membre stabilesc modalitatea de efectuare a acestei trimiteri.</w:t>
      </w:r>
    </w:p>
    <w:p w14:paraId="3B416A3D" w14:textId="77777777" w:rsidR="006C7F87" w:rsidRPr="00057FB8" w:rsidRDefault="006C7F87" w:rsidP="0094068A">
      <w:pPr>
        <w:pStyle w:val="ManualNumPar1"/>
        <w:rPr>
          <w:noProof/>
        </w:rPr>
      </w:pPr>
      <w:r w:rsidRPr="00057FB8">
        <w:rPr>
          <w:noProof/>
        </w:rPr>
        <w:t>(2)</w:t>
      </w:r>
      <w:r w:rsidRPr="00057FB8">
        <w:rPr>
          <w:noProof/>
        </w:rPr>
        <w:tab/>
        <w:t>Statele membre comunică Comisiei textul principalelor dispoziții de drept intern pe care le adoptă în domeniul reglementat de prezenta directivă.</w:t>
      </w:r>
    </w:p>
    <w:p w14:paraId="579570DD" w14:textId="77777777" w:rsidR="006C7F87" w:rsidRPr="00057FB8" w:rsidRDefault="006C7F87" w:rsidP="0094068A">
      <w:pPr>
        <w:pStyle w:val="Titrearticle"/>
        <w:rPr>
          <w:noProof/>
        </w:rPr>
      </w:pPr>
      <w:r w:rsidRPr="00057FB8">
        <w:rPr>
          <w:noProof/>
        </w:rPr>
        <w:t>Articolul 4</w:t>
      </w:r>
    </w:p>
    <w:p w14:paraId="1B17ABCC" w14:textId="77777777" w:rsidR="00AC7306" w:rsidRPr="00057FB8" w:rsidRDefault="00AC7306" w:rsidP="00AC7306">
      <w:pPr>
        <w:pStyle w:val="Titrearticle"/>
        <w:rPr>
          <w:b/>
          <w:bCs/>
          <w:i w:val="0"/>
          <w:iCs/>
          <w:noProof/>
        </w:rPr>
      </w:pPr>
      <w:r w:rsidRPr="00057FB8">
        <w:rPr>
          <w:b/>
          <w:i w:val="0"/>
          <w:noProof/>
        </w:rPr>
        <w:t>Intrare în vigoare</w:t>
      </w:r>
    </w:p>
    <w:p w14:paraId="76267EF5" w14:textId="77777777" w:rsidR="006C7F87" w:rsidRPr="00057FB8" w:rsidRDefault="74F27777" w:rsidP="0094068A">
      <w:pPr>
        <w:rPr>
          <w:noProof/>
        </w:rPr>
      </w:pPr>
      <w:r w:rsidRPr="00057FB8">
        <w:rPr>
          <w:noProof/>
        </w:rPr>
        <w:t xml:space="preserve">Prezenta directivă intră în vigoare în ziua următoare datei publicării în </w:t>
      </w:r>
      <w:r w:rsidRPr="00057FB8">
        <w:rPr>
          <w:i/>
          <w:noProof/>
        </w:rPr>
        <w:t>Jurnalul Oficial al Uniunii Europene</w:t>
      </w:r>
      <w:r w:rsidRPr="00057FB8">
        <w:rPr>
          <w:noProof/>
        </w:rPr>
        <w:t>.</w:t>
      </w:r>
    </w:p>
    <w:p w14:paraId="3DE172A4" w14:textId="77777777" w:rsidR="006C7F87" w:rsidRPr="00057FB8" w:rsidRDefault="006C7F87" w:rsidP="0094068A">
      <w:pPr>
        <w:pStyle w:val="Titrearticle"/>
        <w:rPr>
          <w:noProof/>
        </w:rPr>
      </w:pPr>
      <w:r w:rsidRPr="00057FB8">
        <w:rPr>
          <w:noProof/>
        </w:rPr>
        <w:t>Articolul 5</w:t>
      </w:r>
    </w:p>
    <w:p w14:paraId="0CF7DE50" w14:textId="77777777" w:rsidR="00AC7306" w:rsidRPr="00057FB8" w:rsidRDefault="00AC7306" w:rsidP="005E6057">
      <w:pPr>
        <w:pStyle w:val="Titrearticle"/>
        <w:rPr>
          <w:noProof/>
        </w:rPr>
      </w:pPr>
      <w:r w:rsidRPr="00057FB8">
        <w:rPr>
          <w:b/>
          <w:i w:val="0"/>
          <w:noProof/>
        </w:rPr>
        <w:t>Destinatari</w:t>
      </w:r>
    </w:p>
    <w:p w14:paraId="1C1869A6" w14:textId="77777777" w:rsidR="006C7F87" w:rsidRPr="00057FB8" w:rsidRDefault="006C7F87" w:rsidP="0094068A">
      <w:pPr>
        <w:keepNext/>
        <w:keepLines/>
        <w:rPr>
          <w:noProof/>
        </w:rPr>
      </w:pPr>
      <w:r w:rsidRPr="00057FB8">
        <w:rPr>
          <w:noProof/>
        </w:rPr>
        <w:t>Prezenta directivă se adresează statelor membre.</w:t>
      </w:r>
    </w:p>
    <w:p w14:paraId="6F99BCD3" w14:textId="291FACDB" w:rsidR="006C7F87" w:rsidRPr="00057FB8" w:rsidRDefault="00057FB8" w:rsidP="005E6057">
      <w:pPr>
        <w:pStyle w:val="Fait"/>
        <w:rPr>
          <w:noProof/>
        </w:rPr>
      </w:pPr>
      <w:r>
        <w:rPr>
          <w:noProof/>
        </w:rPr>
        <w:t>Adoptată la Bruxelles,</w:t>
      </w:r>
    </w:p>
    <w:p w14:paraId="77EDDB57" w14:textId="77777777" w:rsidR="006C7F87" w:rsidRPr="00057FB8" w:rsidRDefault="006C7F87" w:rsidP="005E6057">
      <w:pPr>
        <w:pStyle w:val="Institutionquisigne"/>
        <w:rPr>
          <w:noProof/>
        </w:rPr>
      </w:pPr>
      <w:r w:rsidRPr="00057FB8">
        <w:rPr>
          <w:noProof/>
        </w:rPr>
        <w:t>Pentru Parlamentul European,</w:t>
      </w:r>
      <w:r w:rsidRPr="00057FB8">
        <w:rPr>
          <w:noProof/>
        </w:rPr>
        <w:tab/>
        <w:t>Pentru Consiliu,</w:t>
      </w:r>
    </w:p>
    <w:p w14:paraId="7B049FFF" w14:textId="77777777" w:rsidR="00CA2B31" w:rsidRPr="00057FB8" w:rsidRDefault="006C7F87" w:rsidP="00BB1CDB">
      <w:pPr>
        <w:pStyle w:val="Personnequisigne"/>
        <w:rPr>
          <w:noProof/>
        </w:rPr>
      </w:pPr>
      <w:r w:rsidRPr="00057FB8">
        <w:rPr>
          <w:noProof/>
        </w:rPr>
        <w:t>Președinta</w:t>
      </w:r>
      <w:r w:rsidRPr="00057FB8">
        <w:rPr>
          <w:noProof/>
        </w:rPr>
        <w:tab/>
        <w:t>Președintele</w:t>
      </w:r>
    </w:p>
    <w:p w14:paraId="7B7B0287" w14:textId="77777777" w:rsidR="00CA2B31" w:rsidRPr="00057FB8" w:rsidRDefault="001A1613" w:rsidP="0078133F">
      <w:pPr>
        <w:spacing w:before="0" w:after="200" w:line="276" w:lineRule="auto"/>
        <w:jc w:val="left"/>
        <w:rPr>
          <w:noProof/>
        </w:rPr>
      </w:pPr>
      <w:r w:rsidRPr="00057FB8">
        <w:rPr>
          <w:noProof/>
        </w:rPr>
        <w:br w:type="page"/>
      </w:r>
    </w:p>
    <w:p w14:paraId="391CEFDA" w14:textId="77777777" w:rsidR="00CA2B31" w:rsidRPr="00057FB8" w:rsidRDefault="00CA2B31" w:rsidP="00CA2B31">
      <w:pPr>
        <w:pStyle w:val="Fichefinanciretitre"/>
        <w:keepNext/>
        <w:rPr>
          <w:noProof/>
        </w:rPr>
      </w:pPr>
      <w:r w:rsidRPr="00057FB8">
        <w:rPr>
          <w:noProof/>
        </w:rPr>
        <w:t>FIȘĂ FINANCIARĂ LEGISLATIVĂ ȘI DIGITALĂ</w:t>
      </w:r>
    </w:p>
    <w:p w14:paraId="262A4CF2" w14:textId="77777777" w:rsidR="000F2513" w:rsidRPr="00057FB8" w:rsidRDefault="000F2513" w:rsidP="0078133F">
      <w:pPr>
        <w:rPr>
          <w:noProof/>
        </w:rPr>
      </w:pPr>
    </w:p>
    <w:p w14:paraId="3FD6B615" w14:textId="77777777" w:rsidR="00CA2B31" w:rsidRPr="00057FB8" w:rsidRDefault="00CA2B31" w:rsidP="00CA2B31">
      <w:pPr>
        <w:pStyle w:val="TOC1"/>
        <w:rPr>
          <w:rFonts w:asciiTheme="minorHAnsi" w:eastAsiaTheme="minorEastAsia" w:hAnsiTheme="minorHAnsi" w:cstheme="minorBidi"/>
          <w:noProof/>
          <w:kern w:val="2"/>
          <w:sz w:val="22"/>
          <w14:ligatures w14:val="standardContextual"/>
        </w:rPr>
      </w:pPr>
      <w:r w:rsidRPr="00057FB8">
        <w:rPr>
          <w:noProof/>
        </w:rPr>
        <w:t>1.</w:t>
      </w:r>
      <w:r w:rsidRPr="00057FB8">
        <w:rPr>
          <w:rFonts w:asciiTheme="minorHAnsi" w:hAnsiTheme="minorHAnsi"/>
          <w:noProof/>
          <w:sz w:val="22"/>
        </w:rPr>
        <w:tab/>
      </w:r>
      <w:r w:rsidRPr="00057FB8">
        <w:rPr>
          <w:noProof/>
        </w:rPr>
        <w:t>CADRUL PROPUNERII/INIȚIATIVEI</w:t>
      </w:r>
      <w:r w:rsidRPr="00057FB8">
        <w:rPr>
          <w:noProof/>
          <w:webHidden/>
        </w:rPr>
        <w:tab/>
        <w:t>3</w:t>
      </w:r>
    </w:p>
    <w:p w14:paraId="2B141920"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1.1.</w:t>
      </w:r>
      <w:r w:rsidRPr="00057FB8">
        <w:rPr>
          <w:rFonts w:asciiTheme="minorHAnsi" w:hAnsiTheme="minorHAnsi"/>
          <w:noProof/>
          <w:sz w:val="22"/>
        </w:rPr>
        <w:tab/>
      </w:r>
      <w:r w:rsidRPr="00057FB8">
        <w:rPr>
          <w:noProof/>
        </w:rPr>
        <w:t>Titlul propunerii/inițiativei</w:t>
      </w:r>
      <w:r w:rsidRPr="00057FB8">
        <w:rPr>
          <w:noProof/>
          <w:webHidden/>
        </w:rPr>
        <w:tab/>
        <w:t>3</w:t>
      </w:r>
    </w:p>
    <w:p w14:paraId="3D149DC4"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1.2.</w:t>
      </w:r>
      <w:r w:rsidRPr="00057FB8">
        <w:rPr>
          <w:rFonts w:asciiTheme="minorHAnsi" w:hAnsiTheme="minorHAnsi"/>
          <w:noProof/>
          <w:sz w:val="22"/>
        </w:rPr>
        <w:tab/>
      </w:r>
      <w:r w:rsidRPr="00057FB8">
        <w:rPr>
          <w:noProof/>
        </w:rPr>
        <w:t>Domeniul (domeniile) de politică vizat(e)</w:t>
      </w:r>
      <w:r w:rsidRPr="00057FB8">
        <w:rPr>
          <w:noProof/>
          <w:webHidden/>
        </w:rPr>
        <w:tab/>
        <w:t>3</w:t>
      </w:r>
    </w:p>
    <w:p w14:paraId="5AF54A6F"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1.3.</w:t>
      </w:r>
      <w:r w:rsidRPr="00057FB8">
        <w:rPr>
          <w:rFonts w:asciiTheme="minorHAnsi" w:hAnsiTheme="minorHAnsi"/>
          <w:noProof/>
          <w:sz w:val="22"/>
        </w:rPr>
        <w:tab/>
      </w:r>
      <w:r w:rsidRPr="00057FB8">
        <w:rPr>
          <w:noProof/>
        </w:rPr>
        <w:t>Obiectiv(e)</w:t>
      </w:r>
      <w:r w:rsidRPr="00057FB8">
        <w:rPr>
          <w:noProof/>
          <w:webHidden/>
        </w:rPr>
        <w:tab/>
        <w:t>3</w:t>
      </w:r>
    </w:p>
    <w:p w14:paraId="0F356330"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1.3.1.</w:t>
      </w:r>
      <w:r w:rsidRPr="00057FB8">
        <w:rPr>
          <w:rFonts w:asciiTheme="minorHAnsi" w:hAnsiTheme="minorHAnsi"/>
          <w:noProof/>
          <w:sz w:val="22"/>
        </w:rPr>
        <w:tab/>
      </w:r>
      <w:r w:rsidRPr="00057FB8">
        <w:rPr>
          <w:noProof/>
        </w:rPr>
        <w:t>Obiectiv(e) general(e)</w:t>
      </w:r>
      <w:r w:rsidRPr="00057FB8">
        <w:rPr>
          <w:noProof/>
          <w:webHidden/>
        </w:rPr>
        <w:tab/>
        <w:t>3</w:t>
      </w:r>
    </w:p>
    <w:p w14:paraId="0E2ADA45"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1.3.2.</w:t>
      </w:r>
      <w:r w:rsidRPr="00057FB8">
        <w:rPr>
          <w:rFonts w:asciiTheme="minorHAnsi" w:hAnsiTheme="minorHAnsi"/>
          <w:noProof/>
          <w:sz w:val="22"/>
        </w:rPr>
        <w:tab/>
      </w:r>
      <w:r w:rsidRPr="00057FB8">
        <w:rPr>
          <w:noProof/>
        </w:rPr>
        <w:t>Obiectiv(e) specific(e)</w:t>
      </w:r>
      <w:r w:rsidRPr="00057FB8">
        <w:rPr>
          <w:noProof/>
          <w:webHidden/>
        </w:rPr>
        <w:tab/>
        <w:t>3</w:t>
      </w:r>
    </w:p>
    <w:p w14:paraId="1D043487"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1.3.3.</w:t>
      </w:r>
      <w:r w:rsidRPr="00057FB8">
        <w:rPr>
          <w:rFonts w:asciiTheme="minorHAnsi" w:hAnsiTheme="minorHAnsi"/>
          <w:noProof/>
          <w:sz w:val="22"/>
        </w:rPr>
        <w:tab/>
      </w:r>
      <w:r w:rsidRPr="00057FB8">
        <w:rPr>
          <w:noProof/>
        </w:rPr>
        <w:t>Rezultatul (rezultatele) și impactul preconizate</w:t>
      </w:r>
      <w:r w:rsidRPr="00057FB8">
        <w:rPr>
          <w:noProof/>
          <w:webHidden/>
        </w:rPr>
        <w:tab/>
        <w:t>3</w:t>
      </w:r>
    </w:p>
    <w:p w14:paraId="455FE001"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1.3.4.</w:t>
      </w:r>
      <w:r w:rsidRPr="00057FB8">
        <w:rPr>
          <w:rFonts w:asciiTheme="minorHAnsi" w:hAnsiTheme="minorHAnsi"/>
          <w:noProof/>
          <w:sz w:val="22"/>
        </w:rPr>
        <w:tab/>
      </w:r>
      <w:r w:rsidRPr="00057FB8">
        <w:rPr>
          <w:noProof/>
        </w:rPr>
        <w:t>Indicatori de performanță</w:t>
      </w:r>
      <w:r w:rsidRPr="00057FB8">
        <w:rPr>
          <w:noProof/>
          <w:webHidden/>
        </w:rPr>
        <w:tab/>
        <w:t>3</w:t>
      </w:r>
    </w:p>
    <w:p w14:paraId="0A2172B7"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1.4.</w:t>
      </w:r>
      <w:r w:rsidRPr="00057FB8">
        <w:rPr>
          <w:rFonts w:asciiTheme="minorHAnsi" w:hAnsiTheme="minorHAnsi"/>
          <w:noProof/>
          <w:sz w:val="22"/>
        </w:rPr>
        <w:tab/>
      </w:r>
      <w:r w:rsidRPr="00057FB8">
        <w:rPr>
          <w:noProof/>
        </w:rPr>
        <w:t>Obiectul propunerii/inițiativei</w:t>
      </w:r>
      <w:r w:rsidRPr="00057FB8">
        <w:rPr>
          <w:noProof/>
          <w:webHidden/>
        </w:rPr>
        <w:tab/>
        <w:t>4</w:t>
      </w:r>
    </w:p>
    <w:p w14:paraId="403A7C9F"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1.5.</w:t>
      </w:r>
      <w:r w:rsidRPr="00057FB8">
        <w:rPr>
          <w:rFonts w:asciiTheme="minorHAnsi" w:hAnsiTheme="minorHAnsi"/>
          <w:noProof/>
          <w:sz w:val="22"/>
        </w:rPr>
        <w:tab/>
      </w:r>
      <w:r w:rsidRPr="00057FB8">
        <w:rPr>
          <w:noProof/>
        </w:rPr>
        <w:t>Motivele propunerii/inițiativei</w:t>
      </w:r>
      <w:r w:rsidRPr="00057FB8">
        <w:rPr>
          <w:noProof/>
          <w:webHidden/>
        </w:rPr>
        <w:tab/>
        <w:t>4</w:t>
      </w:r>
    </w:p>
    <w:p w14:paraId="1ECBA4B3"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1.5.1.</w:t>
      </w:r>
      <w:r w:rsidRPr="00057FB8">
        <w:rPr>
          <w:rFonts w:asciiTheme="minorHAnsi" w:hAnsiTheme="minorHAnsi"/>
          <w:noProof/>
          <w:sz w:val="22"/>
        </w:rPr>
        <w:tab/>
      </w:r>
      <w:r w:rsidRPr="00057FB8">
        <w:rPr>
          <w:noProof/>
        </w:rPr>
        <w:t>Cerința (cerințele) care trebuie îndeplinită (îndeplinite) pe termen scurt sau lung, inclusiv un calendar detaliat pentru punerea în aplicare a inițiativei</w:t>
      </w:r>
      <w:r w:rsidRPr="00057FB8">
        <w:rPr>
          <w:noProof/>
          <w:webHidden/>
        </w:rPr>
        <w:tab/>
        <w:t>4</w:t>
      </w:r>
    </w:p>
    <w:p w14:paraId="057A1EB4"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1.5.2.</w:t>
      </w:r>
      <w:r w:rsidRPr="00057FB8">
        <w:rPr>
          <w:rFonts w:asciiTheme="minorHAnsi" w:hAnsiTheme="minorHAnsi"/>
          <w:noProof/>
          <w:sz w:val="22"/>
        </w:rPr>
        <w:tab/>
      </w:r>
      <w:r w:rsidRPr="00057FB8">
        <w:rPr>
          <w:noProof/>
        </w:rPr>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r w:rsidRPr="00057FB8">
        <w:rPr>
          <w:noProof/>
          <w:webHidden/>
        </w:rPr>
        <w:tab/>
        <w:t>4</w:t>
      </w:r>
    </w:p>
    <w:p w14:paraId="38F8914B"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1.5.3.</w:t>
      </w:r>
      <w:r w:rsidRPr="00057FB8">
        <w:rPr>
          <w:rFonts w:asciiTheme="minorHAnsi" w:hAnsiTheme="minorHAnsi"/>
          <w:noProof/>
          <w:sz w:val="22"/>
        </w:rPr>
        <w:tab/>
      </w:r>
      <w:r w:rsidRPr="00057FB8">
        <w:rPr>
          <w:noProof/>
        </w:rPr>
        <w:t>Învățăminte desprinse din experiențele anterioare similare</w:t>
      </w:r>
      <w:r w:rsidRPr="00057FB8">
        <w:rPr>
          <w:noProof/>
          <w:webHidden/>
        </w:rPr>
        <w:tab/>
        <w:t>4</w:t>
      </w:r>
    </w:p>
    <w:p w14:paraId="32EAC30A" w14:textId="77777777" w:rsidR="00CA2B31" w:rsidRPr="00057FB8" w:rsidRDefault="00CA2B31" w:rsidP="00CA2B31">
      <w:pPr>
        <w:pStyle w:val="TOC1"/>
        <w:rPr>
          <w:rFonts w:asciiTheme="minorHAnsi" w:eastAsiaTheme="minorEastAsia" w:hAnsiTheme="minorHAnsi" w:cstheme="minorBidi"/>
          <w:noProof/>
          <w:kern w:val="2"/>
          <w:sz w:val="22"/>
          <w14:ligatures w14:val="standardContextual"/>
        </w:rPr>
      </w:pPr>
      <w:r w:rsidRPr="00057FB8">
        <w:rPr>
          <w:noProof/>
        </w:rPr>
        <w:t>2.</w:t>
      </w:r>
      <w:r w:rsidRPr="00057FB8">
        <w:rPr>
          <w:rFonts w:asciiTheme="minorHAnsi" w:hAnsiTheme="minorHAnsi"/>
          <w:noProof/>
          <w:sz w:val="22"/>
        </w:rPr>
        <w:tab/>
      </w:r>
      <w:r w:rsidRPr="00057FB8">
        <w:rPr>
          <w:noProof/>
        </w:rPr>
        <w:t>MĂSURI DE GESTIUNE</w:t>
      </w:r>
      <w:r w:rsidRPr="00057FB8">
        <w:rPr>
          <w:noProof/>
          <w:webHidden/>
        </w:rPr>
        <w:tab/>
        <w:t>8</w:t>
      </w:r>
    </w:p>
    <w:p w14:paraId="73491379"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2.1.</w:t>
      </w:r>
      <w:r w:rsidRPr="00057FB8">
        <w:rPr>
          <w:rFonts w:asciiTheme="minorHAnsi" w:hAnsiTheme="minorHAnsi"/>
          <w:noProof/>
          <w:sz w:val="22"/>
        </w:rPr>
        <w:tab/>
      </w:r>
      <w:r w:rsidRPr="00057FB8">
        <w:rPr>
          <w:noProof/>
        </w:rPr>
        <w:t>Dispoziții în materie de monitorizare și de raportare</w:t>
      </w:r>
      <w:r w:rsidRPr="00057FB8">
        <w:rPr>
          <w:noProof/>
          <w:webHidden/>
        </w:rPr>
        <w:tab/>
        <w:t>8</w:t>
      </w:r>
    </w:p>
    <w:p w14:paraId="557CF5AD"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2.2.</w:t>
      </w:r>
      <w:r w:rsidRPr="00057FB8">
        <w:rPr>
          <w:rFonts w:asciiTheme="minorHAnsi" w:hAnsiTheme="minorHAnsi"/>
          <w:noProof/>
          <w:sz w:val="22"/>
        </w:rPr>
        <w:tab/>
      </w:r>
      <w:r w:rsidRPr="00057FB8">
        <w:rPr>
          <w:noProof/>
        </w:rPr>
        <w:t>Sistemul (sistemele) de gestiune și de control</w:t>
      </w:r>
      <w:r w:rsidRPr="00057FB8">
        <w:rPr>
          <w:noProof/>
          <w:webHidden/>
        </w:rPr>
        <w:tab/>
        <w:t>8</w:t>
      </w:r>
    </w:p>
    <w:p w14:paraId="35E9DD44"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2.2.1.</w:t>
      </w:r>
      <w:r w:rsidRPr="00057FB8">
        <w:rPr>
          <w:rFonts w:asciiTheme="minorHAnsi" w:hAnsiTheme="minorHAnsi"/>
          <w:noProof/>
          <w:sz w:val="22"/>
        </w:rPr>
        <w:tab/>
      </w:r>
      <w:r w:rsidRPr="00057FB8">
        <w:rPr>
          <w:noProof/>
        </w:rPr>
        <w:t>Justificarea metodei (metodelor) de execuție bugetară, a mecanismului (mecanismelor) de punere în aplicare a finanțării, a modalităților de plată și a strategiei de control propuse</w:t>
      </w:r>
      <w:r w:rsidRPr="00057FB8">
        <w:rPr>
          <w:noProof/>
          <w:webHidden/>
        </w:rPr>
        <w:tab/>
        <w:t>8</w:t>
      </w:r>
    </w:p>
    <w:p w14:paraId="67DA575D"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2.2.2.</w:t>
      </w:r>
      <w:r w:rsidRPr="00057FB8">
        <w:rPr>
          <w:rFonts w:asciiTheme="minorHAnsi" w:hAnsiTheme="minorHAnsi"/>
          <w:noProof/>
          <w:sz w:val="22"/>
        </w:rPr>
        <w:tab/>
      </w:r>
      <w:r w:rsidRPr="00057FB8">
        <w:rPr>
          <w:noProof/>
        </w:rPr>
        <w:t>Informații privind riscurile identificate și sistemul (sistemele) de control intern instituit(e) pentru atenuarea lor</w:t>
      </w:r>
      <w:r w:rsidRPr="00057FB8">
        <w:rPr>
          <w:noProof/>
          <w:webHidden/>
        </w:rPr>
        <w:tab/>
        <w:t>8</w:t>
      </w:r>
    </w:p>
    <w:p w14:paraId="3E566693" w14:textId="77777777" w:rsidR="00CA2B31" w:rsidRPr="00057FB8" w:rsidRDefault="00CA2B31" w:rsidP="00CA2B31">
      <w:pPr>
        <w:pStyle w:val="TOC3"/>
        <w:rPr>
          <w:rFonts w:asciiTheme="minorHAnsi" w:eastAsiaTheme="minorEastAsia" w:hAnsiTheme="minorHAnsi" w:cstheme="minorBidi"/>
          <w:noProof/>
          <w:kern w:val="2"/>
          <w:sz w:val="22"/>
          <w14:ligatures w14:val="standardContextual"/>
        </w:rPr>
      </w:pPr>
      <w:r w:rsidRPr="00057FB8">
        <w:rPr>
          <w:noProof/>
        </w:rPr>
        <w:t>2.2.3.</w:t>
      </w:r>
      <w:r w:rsidRPr="00057FB8">
        <w:rPr>
          <w:rFonts w:asciiTheme="minorHAnsi" w:hAnsiTheme="minorHAnsi"/>
          <w:noProof/>
          <w:sz w:val="22"/>
        </w:rPr>
        <w:tab/>
      </w:r>
      <w:r w:rsidRPr="00057FB8">
        <w:rPr>
          <w:noProof/>
        </w:rPr>
        <w:t>Estimarea și justificarea raportului cost-eficacitate al controalelor (raportul dintre costurile controalelor și valoarea fondurilor aferente gestionate) și evaluarea nivelurilor preconizate ale riscurilor de eroare (la plată și la închidere)</w:t>
      </w:r>
      <w:r w:rsidRPr="00057FB8">
        <w:rPr>
          <w:noProof/>
          <w:webHidden/>
        </w:rPr>
        <w:tab/>
        <w:t>8</w:t>
      </w:r>
    </w:p>
    <w:p w14:paraId="13A9DC70"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2.3.</w:t>
      </w:r>
      <w:r w:rsidRPr="00057FB8">
        <w:rPr>
          <w:rFonts w:asciiTheme="minorHAnsi" w:hAnsiTheme="minorHAnsi"/>
          <w:noProof/>
          <w:sz w:val="22"/>
        </w:rPr>
        <w:tab/>
      </w:r>
      <w:r w:rsidRPr="00057FB8">
        <w:rPr>
          <w:noProof/>
        </w:rPr>
        <w:t>Măsuri de prevenire a fraudelor și a neregulilor</w:t>
      </w:r>
      <w:r w:rsidRPr="00057FB8">
        <w:rPr>
          <w:noProof/>
          <w:webHidden/>
        </w:rPr>
        <w:tab/>
        <w:t>9</w:t>
      </w:r>
    </w:p>
    <w:p w14:paraId="767A6FA7" w14:textId="77777777" w:rsidR="00CA2B31" w:rsidRPr="00057FB8" w:rsidRDefault="00CA2B31" w:rsidP="00CA2B31">
      <w:pPr>
        <w:pStyle w:val="TOC1"/>
        <w:rPr>
          <w:rFonts w:asciiTheme="minorHAnsi" w:eastAsiaTheme="minorEastAsia" w:hAnsiTheme="minorHAnsi" w:cstheme="minorBidi"/>
          <w:noProof/>
          <w:kern w:val="2"/>
          <w:sz w:val="22"/>
          <w14:ligatures w14:val="standardContextual"/>
        </w:rPr>
      </w:pPr>
      <w:r w:rsidRPr="00057FB8">
        <w:rPr>
          <w:noProof/>
        </w:rPr>
        <w:t>4.</w:t>
      </w:r>
      <w:r w:rsidRPr="00057FB8">
        <w:rPr>
          <w:rFonts w:asciiTheme="minorHAnsi" w:hAnsiTheme="minorHAnsi"/>
          <w:noProof/>
          <w:sz w:val="22"/>
        </w:rPr>
        <w:tab/>
      </w:r>
      <w:r w:rsidRPr="00057FB8">
        <w:rPr>
          <w:caps/>
          <w:noProof/>
        </w:rPr>
        <w:t>Dimensiunile digitale</w:t>
      </w:r>
      <w:r w:rsidRPr="00057FB8">
        <w:rPr>
          <w:noProof/>
          <w:webHidden/>
        </w:rPr>
        <w:tab/>
        <w:t>29</w:t>
      </w:r>
    </w:p>
    <w:p w14:paraId="521A57FF"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4.1.</w:t>
      </w:r>
      <w:r w:rsidRPr="00057FB8">
        <w:rPr>
          <w:rFonts w:asciiTheme="minorHAnsi" w:hAnsiTheme="minorHAnsi"/>
          <w:noProof/>
          <w:sz w:val="22"/>
        </w:rPr>
        <w:tab/>
      </w:r>
      <w:r w:rsidRPr="00057FB8">
        <w:rPr>
          <w:noProof/>
        </w:rPr>
        <w:t>Cerințe cu relevanță digitală</w:t>
      </w:r>
      <w:r w:rsidRPr="00057FB8">
        <w:rPr>
          <w:noProof/>
          <w:webHidden/>
        </w:rPr>
        <w:tab/>
        <w:t>30</w:t>
      </w:r>
    </w:p>
    <w:p w14:paraId="57AEB511"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4.2.</w:t>
      </w:r>
      <w:r w:rsidRPr="00057FB8">
        <w:rPr>
          <w:rFonts w:asciiTheme="minorHAnsi" w:hAnsiTheme="minorHAnsi"/>
          <w:noProof/>
          <w:sz w:val="22"/>
        </w:rPr>
        <w:tab/>
      </w:r>
      <w:r w:rsidRPr="00057FB8">
        <w:rPr>
          <w:noProof/>
        </w:rPr>
        <w:t>Date</w:t>
      </w:r>
      <w:r w:rsidRPr="00057FB8">
        <w:rPr>
          <w:noProof/>
          <w:webHidden/>
        </w:rPr>
        <w:tab/>
        <w:t>30</w:t>
      </w:r>
    </w:p>
    <w:p w14:paraId="64652870"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4.3.</w:t>
      </w:r>
      <w:r w:rsidRPr="00057FB8">
        <w:rPr>
          <w:rFonts w:asciiTheme="minorHAnsi" w:hAnsiTheme="minorHAnsi"/>
          <w:noProof/>
          <w:sz w:val="22"/>
        </w:rPr>
        <w:tab/>
      </w:r>
      <w:r w:rsidRPr="00057FB8">
        <w:rPr>
          <w:noProof/>
        </w:rPr>
        <w:t>Soluții digitale</w:t>
      </w:r>
      <w:r w:rsidRPr="00057FB8">
        <w:rPr>
          <w:noProof/>
          <w:webHidden/>
        </w:rPr>
        <w:tab/>
        <w:t>31</w:t>
      </w:r>
    </w:p>
    <w:p w14:paraId="17CD33AC"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4.4.</w:t>
      </w:r>
      <w:r w:rsidRPr="00057FB8">
        <w:rPr>
          <w:rFonts w:asciiTheme="minorHAnsi" w:hAnsiTheme="minorHAnsi"/>
          <w:noProof/>
          <w:sz w:val="22"/>
        </w:rPr>
        <w:tab/>
      </w:r>
      <w:r w:rsidRPr="00057FB8">
        <w:rPr>
          <w:noProof/>
        </w:rPr>
        <w:t>Evaluarea interoperabilității</w:t>
      </w:r>
      <w:r w:rsidRPr="00057FB8">
        <w:rPr>
          <w:noProof/>
          <w:webHidden/>
        </w:rPr>
        <w:tab/>
        <w:t>31</w:t>
      </w:r>
    </w:p>
    <w:p w14:paraId="3643FEF0" w14:textId="77777777" w:rsidR="00CA2B31" w:rsidRPr="00057FB8" w:rsidRDefault="00CA2B31" w:rsidP="00CA2B31">
      <w:pPr>
        <w:pStyle w:val="TOC2"/>
        <w:rPr>
          <w:rFonts w:asciiTheme="minorHAnsi" w:eastAsiaTheme="minorEastAsia" w:hAnsiTheme="minorHAnsi" w:cstheme="minorBidi"/>
          <w:noProof/>
          <w:kern w:val="2"/>
          <w:sz w:val="22"/>
          <w14:ligatures w14:val="standardContextual"/>
        </w:rPr>
      </w:pPr>
      <w:r w:rsidRPr="00057FB8">
        <w:rPr>
          <w:noProof/>
        </w:rPr>
        <w:t>4.5.</w:t>
      </w:r>
      <w:r w:rsidRPr="00057FB8">
        <w:rPr>
          <w:rFonts w:asciiTheme="minorHAnsi" w:hAnsiTheme="minorHAnsi"/>
          <w:noProof/>
          <w:sz w:val="22"/>
        </w:rPr>
        <w:tab/>
      </w:r>
      <w:r w:rsidRPr="00057FB8">
        <w:rPr>
          <w:noProof/>
        </w:rPr>
        <w:t>Măsuri de sprijinire a implementării digitale</w:t>
      </w:r>
      <w:r w:rsidRPr="00057FB8">
        <w:rPr>
          <w:noProof/>
          <w:webHidden/>
        </w:rPr>
        <w:tab/>
        <w:t>32</w:t>
      </w:r>
    </w:p>
    <w:p w14:paraId="69981287" w14:textId="77777777" w:rsidR="00CA2B31" w:rsidRPr="00057FB8" w:rsidRDefault="00CA2B31" w:rsidP="00CA2B31">
      <w:pPr>
        <w:pStyle w:val="TOC1"/>
        <w:ind w:left="0" w:firstLine="0"/>
        <w:rPr>
          <w:noProof/>
        </w:rPr>
        <w:sectPr w:rsidR="00CA2B31" w:rsidRPr="00057FB8" w:rsidSect="0033790A">
          <w:pgSz w:w="11907" w:h="16840" w:code="9"/>
          <w:pgMar w:top="1134" w:right="1418" w:bottom="1134" w:left="1418" w:header="709" w:footer="709" w:gutter="0"/>
          <w:pgNumType w:start="1"/>
          <w:cols w:space="720"/>
          <w:docGrid w:linePitch="360"/>
        </w:sectPr>
      </w:pPr>
    </w:p>
    <w:p w14:paraId="0A0BC0FA" w14:textId="77777777" w:rsidR="00CA2B31" w:rsidRPr="00057FB8" w:rsidRDefault="00CA2B31" w:rsidP="00CA2B31">
      <w:pPr>
        <w:pStyle w:val="ManualHeading1"/>
        <w:rPr>
          <w:noProof/>
        </w:rPr>
      </w:pPr>
      <w:bookmarkStart w:id="3" w:name="_Toc514938007"/>
      <w:bookmarkStart w:id="4" w:name="_Toc520485025"/>
      <w:bookmarkStart w:id="5" w:name="_Toc160804567"/>
      <w:bookmarkStart w:id="6" w:name="_Toc167220259"/>
      <w:bookmarkStart w:id="7" w:name="_Toc177548992"/>
      <w:r w:rsidRPr="00057FB8">
        <w:rPr>
          <w:noProof/>
        </w:rPr>
        <w:t>1.</w:t>
      </w:r>
      <w:r w:rsidRPr="00057FB8">
        <w:rPr>
          <w:noProof/>
        </w:rPr>
        <w:tab/>
        <w:t>CADRUL PROPUNERII/INIȚIATIVEI</w:t>
      </w:r>
      <w:bookmarkEnd w:id="3"/>
      <w:bookmarkEnd w:id="4"/>
      <w:bookmarkEnd w:id="5"/>
      <w:bookmarkEnd w:id="6"/>
      <w:bookmarkEnd w:id="7"/>
      <w:r w:rsidRPr="00057FB8">
        <w:rPr>
          <w:noProof/>
        </w:rPr>
        <w:t xml:space="preserve"> </w:t>
      </w:r>
    </w:p>
    <w:p w14:paraId="7FF6FAED" w14:textId="77777777" w:rsidR="00CA2B31" w:rsidRPr="00057FB8" w:rsidRDefault="00CA2B31" w:rsidP="00CA2B31">
      <w:pPr>
        <w:pStyle w:val="ManualHeading2"/>
        <w:rPr>
          <w:noProof/>
        </w:rPr>
      </w:pPr>
      <w:bookmarkStart w:id="8" w:name="_Toc514938008"/>
      <w:bookmarkStart w:id="9" w:name="_Toc520485026"/>
      <w:bookmarkStart w:id="10" w:name="_Toc160804568"/>
      <w:bookmarkStart w:id="11" w:name="_Toc167220260"/>
      <w:bookmarkStart w:id="12" w:name="_Toc177548993"/>
      <w:r w:rsidRPr="00057FB8">
        <w:rPr>
          <w:noProof/>
        </w:rPr>
        <w:t>1.1.</w:t>
      </w:r>
      <w:r w:rsidRPr="00057FB8">
        <w:rPr>
          <w:noProof/>
        </w:rPr>
        <w:tab/>
        <w:t>Titlul propunerii/inițiativei</w:t>
      </w:r>
      <w:bookmarkEnd w:id="8"/>
      <w:bookmarkEnd w:id="9"/>
      <w:bookmarkEnd w:id="10"/>
      <w:bookmarkEnd w:id="11"/>
      <w:bookmarkEnd w:id="12"/>
    </w:p>
    <w:p w14:paraId="41055A92" w14:textId="77777777" w:rsidR="00CA2B31" w:rsidRPr="00057FB8" w:rsidRDefault="00CA2B31" w:rsidP="00DF6FDE">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Propunere de directivă a Parlamentului European și a Consiliului de modificare a Directivelor (UE) 2022/2464 și (UE) 2024/1760 în ceea ce privește anumite cerințe de raportare și de diligență necesară în materie de durabilitate a întreprinderilor </w:t>
      </w:r>
    </w:p>
    <w:p w14:paraId="05707247" w14:textId="77777777" w:rsidR="00CA2B31" w:rsidRPr="00057FB8" w:rsidRDefault="00CA2B31" w:rsidP="00CA2B31">
      <w:pPr>
        <w:pStyle w:val="ManualHeading2"/>
        <w:rPr>
          <w:i/>
          <w:noProof/>
        </w:rPr>
      </w:pPr>
      <w:bookmarkStart w:id="13" w:name="_Toc514938011"/>
      <w:bookmarkStart w:id="14" w:name="_Toc520485027"/>
      <w:bookmarkStart w:id="15" w:name="_Toc160804569"/>
      <w:bookmarkStart w:id="16" w:name="_Toc167220261"/>
      <w:bookmarkStart w:id="17" w:name="_Toc177548994"/>
      <w:r w:rsidRPr="00057FB8">
        <w:rPr>
          <w:noProof/>
        </w:rPr>
        <w:t>1.2.</w:t>
      </w:r>
      <w:r w:rsidRPr="00057FB8">
        <w:rPr>
          <w:noProof/>
        </w:rPr>
        <w:tab/>
        <w:t>Domeniul (domeniile) de politică vizat(e)</w:t>
      </w:r>
      <w:bookmarkEnd w:id="13"/>
      <w:bookmarkEnd w:id="14"/>
      <w:bookmarkEnd w:id="15"/>
      <w:bookmarkEnd w:id="16"/>
      <w:bookmarkEnd w:id="17"/>
      <w:r w:rsidRPr="00057FB8">
        <w:rPr>
          <w:i/>
          <w:noProof/>
        </w:rPr>
        <w:t xml:space="preserve"> </w:t>
      </w:r>
    </w:p>
    <w:p w14:paraId="45DCBC19"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Uniunea piețelor de capital, uniunea economiilor și a investițiilor, Pactul verde european, Strategia privind finanțarea durabilă, dreptul societăților și guvernanța corporativă </w:t>
      </w:r>
    </w:p>
    <w:p w14:paraId="4028EEA9" w14:textId="77777777" w:rsidR="00CA2B31" w:rsidRPr="00057FB8" w:rsidRDefault="00CA2B31" w:rsidP="00CA2B31">
      <w:pPr>
        <w:pStyle w:val="ManualHeading2"/>
        <w:rPr>
          <w:noProof/>
        </w:rPr>
      </w:pPr>
      <w:bookmarkStart w:id="18" w:name="_Toc514938015"/>
      <w:bookmarkStart w:id="19" w:name="_Toc520485029"/>
      <w:bookmarkStart w:id="20" w:name="_Toc160804571"/>
      <w:bookmarkStart w:id="21" w:name="_Toc167220263"/>
      <w:bookmarkStart w:id="22" w:name="_Toc177548995"/>
      <w:r w:rsidRPr="00057FB8">
        <w:rPr>
          <w:noProof/>
        </w:rPr>
        <w:t>1.3.</w:t>
      </w:r>
      <w:r w:rsidRPr="00057FB8">
        <w:rPr>
          <w:noProof/>
        </w:rPr>
        <w:tab/>
        <w:t>Obiectiv(e)</w:t>
      </w:r>
      <w:bookmarkEnd w:id="18"/>
      <w:bookmarkEnd w:id="19"/>
      <w:bookmarkEnd w:id="20"/>
      <w:bookmarkEnd w:id="21"/>
      <w:bookmarkEnd w:id="22"/>
    </w:p>
    <w:p w14:paraId="7D58B297" w14:textId="77777777" w:rsidR="00CA2B31" w:rsidRPr="00057FB8" w:rsidRDefault="00CA2B31" w:rsidP="00CA2B31">
      <w:pPr>
        <w:pStyle w:val="ManualHeading3"/>
        <w:rPr>
          <w:noProof/>
        </w:rPr>
      </w:pPr>
      <w:bookmarkStart w:id="23" w:name="_Toc514938016"/>
      <w:bookmarkStart w:id="24" w:name="_Toc520485030"/>
      <w:bookmarkStart w:id="25" w:name="_Toc160804572"/>
      <w:bookmarkStart w:id="26" w:name="_Toc167220264"/>
      <w:bookmarkStart w:id="27" w:name="_Toc177548996"/>
      <w:r w:rsidRPr="00057FB8">
        <w:rPr>
          <w:noProof/>
        </w:rPr>
        <w:t>1.3.1.</w:t>
      </w:r>
      <w:r w:rsidRPr="00057FB8">
        <w:rPr>
          <w:noProof/>
        </w:rPr>
        <w:tab/>
        <w:t>Obiectiv(e) general(e)</w:t>
      </w:r>
      <w:bookmarkEnd w:id="23"/>
      <w:bookmarkEnd w:id="24"/>
      <w:bookmarkEnd w:id="25"/>
      <w:bookmarkEnd w:id="26"/>
      <w:bookmarkEnd w:id="27"/>
    </w:p>
    <w:p w14:paraId="4EC84BF5"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Obiectivele generale urmărite de prezenta propunere legislativă sunt simplificarea și reducerea anumitor elemente ale Directivei 2006/43/CE, ale Directivei 2013/34/UE, ale Directivei (UE) 2022/2464 și ale Directivei (UE) 2024/1760 pentru a ușura sarcina de raportare a întreprinderilor care intră în domeniul de aplicare al cerințelor.</w:t>
      </w:r>
    </w:p>
    <w:p w14:paraId="7516CEA4" w14:textId="77777777" w:rsidR="00CA2B31" w:rsidRPr="00057FB8" w:rsidRDefault="00CA2B31" w:rsidP="00DF6FDE">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Prin reducerea sarcinii administrative asociate cerințelor de raportare și a costurilor de conformare aferente raportării privind durabilitatea care decurg din legislația menționată mai sus, prezenta propunere urmărește să sporească proporționalitatea cadrului și competitivitatea întreprinderilor europene, menținând în același timp obiectivele Pactului verde european. </w:t>
      </w:r>
    </w:p>
    <w:p w14:paraId="07026537" w14:textId="77777777" w:rsidR="00CA2B31" w:rsidRPr="00057FB8" w:rsidRDefault="00CA2B31" w:rsidP="00CA2B31">
      <w:pPr>
        <w:pStyle w:val="ManualHeading3"/>
        <w:rPr>
          <w:noProof/>
        </w:rPr>
      </w:pPr>
      <w:bookmarkStart w:id="28" w:name="_Toc514938018"/>
      <w:bookmarkStart w:id="29" w:name="_Toc520485031"/>
      <w:bookmarkStart w:id="30" w:name="_Toc160804573"/>
      <w:bookmarkStart w:id="31" w:name="_Toc167220265"/>
      <w:bookmarkStart w:id="32" w:name="_Toc177548997"/>
      <w:r w:rsidRPr="00057FB8">
        <w:rPr>
          <w:noProof/>
        </w:rPr>
        <w:t>1.3.2.</w:t>
      </w:r>
      <w:r w:rsidRPr="00057FB8">
        <w:rPr>
          <w:noProof/>
        </w:rPr>
        <w:tab/>
        <w:t>Obiectiv(e) specific(e)</w:t>
      </w:r>
      <w:bookmarkEnd w:id="28"/>
      <w:bookmarkEnd w:id="29"/>
      <w:bookmarkEnd w:id="30"/>
      <w:bookmarkEnd w:id="31"/>
      <w:bookmarkEnd w:id="32"/>
    </w:p>
    <w:p w14:paraId="01F1975F" w14:textId="77777777" w:rsidR="00CA2B31" w:rsidRPr="00057FB8" w:rsidRDefault="00CA2B31" w:rsidP="00A147FF">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Obiectivele specifice ale modificărilor propuse la Directiva (UE) 2022/2464 incluse în prezenta propunere vizează obținerea următoarelor rezultate: </w:t>
      </w:r>
    </w:p>
    <w:p w14:paraId="2C48C751" w14:textId="77777777" w:rsidR="00CA2B31" w:rsidRPr="00057FB8" w:rsidRDefault="00CA2B31" w:rsidP="00373936">
      <w:pPr>
        <w:pStyle w:val="Tiret1"/>
        <w:numPr>
          <w:ilvl w:val="0"/>
          <w:numId w:val="23"/>
        </w:numPr>
        <w:rPr>
          <w:noProof/>
        </w:rPr>
      </w:pPr>
      <w:r w:rsidRPr="00057FB8">
        <w:rPr>
          <w:noProof/>
        </w:rPr>
        <w:t xml:space="preserve">amânarea cu doi ani a aplicării cerințelor de raportare privind durabilitatea pentru întreprinderile din valul 2 și din valul 3. </w:t>
      </w:r>
    </w:p>
    <w:p w14:paraId="7F1343EB"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Obiectivele specifice ale modificărilor propuse la Directiva (UE) 2024/1760 incluse în prezenta propunere vizează obținerea următoarelor rezultate: </w:t>
      </w:r>
    </w:p>
    <w:p w14:paraId="212188E2" w14:textId="77777777" w:rsidR="003F2BB2" w:rsidRPr="00057FB8" w:rsidRDefault="004D5429" w:rsidP="00DD2BEC">
      <w:pPr>
        <w:pStyle w:val="Tiret1"/>
        <w:rPr>
          <w:noProof/>
        </w:rPr>
      </w:pPr>
      <w:r w:rsidRPr="00057FB8">
        <w:rPr>
          <w:noProof/>
        </w:rPr>
        <w:t>amânarea cu un an a termenului de transpunere și a aplicării cerințelor privind diligența necesară în materie de durabilitate pentru întreprinderile din valul 1.</w:t>
      </w:r>
    </w:p>
    <w:p w14:paraId="1E8CF8FB" w14:textId="77777777" w:rsidR="00CA2B31" w:rsidRPr="00057FB8" w:rsidRDefault="00CA2B31" w:rsidP="00CA2B31">
      <w:pPr>
        <w:pStyle w:val="ManualHeading3"/>
        <w:rPr>
          <w:noProof/>
        </w:rPr>
      </w:pPr>
      <w:bookmarkStart w:id="33" w:name="_Toc514938019"/>
      <w:bookmarkStart w:id="34" w:name="_Toc520485032"/>
      <w:bookmarkStart w:id="35" w:name="_Toc160804574"/>
      <w:bookmarkStart w:id="36" w:name="_Toc167220266"/>
      <w:bookmarkStart w:id="37" w:name="_Toc177548998"/>
      <w:r w:rsidRPr="00057FB8">
        <w:rPr>
          <w:noProof/>
        </w:rPr>
        <w:t>1.3.3.</w:t>
      </w:r>
      <w:r w:rsidRPr="00057FB8">
        <w:rPr>
          <w:noProof/>
        </w:rPr>
        <w:tab/>
        <w:t>Rezultatul (rezultatele) și impactul preconizate</w:t>
      </w:r>
      <w:bookmarkEnd w:id="33"/>
      <w:bookmarkEnd w:id="34"/>
      <w:bookmarkEnd w:id="35"/>
      <w:bookmarkEnd w:id="36"/>
      <w:bookmarkEnd w:id="37"/>
    </w:p>
    <w:p w14:paraId="21387579" w14:textId="77777777" w:rsidR="00CA2B31" w:rsidRPr="00057FB8" w:rsidRDefault="00CA2B31" w:rsidP="00CA2B31">
      <w:pPr>
        <w:pStyle w:val="Text1"/>
        <w:rPr>
          <w:noProof/>
        </w:rPr>
      </w:pPr>
      <w:r w:rsidRPr="00057FB8">
        <w:rPr>
          <w:i/>
          <w:noProof/>
          <w:sz w:val="20"/>
        </w:rPr>
        <w:t>A se preciza efectele pe care ar trebui să le aibă propunerea/inițiativa asupra beneficiarilor vizați/grupurilor vizate.</w:t>
      </w:r>
    </w:p>
    <w:p w14:paraId="0DFF76F4"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Impactul și rezultatele preconizate ale modificărilor propuse constau în simplificarea cerințelor de raportare privind durabilitatea și, prin urmare, în reducerea sarcinii administrative impuse întreprinderilor în această privință, menținând în același timp obiectivele Pactului verde european și ale Planului de acțiune privind finanțarea creșterii durabile. Se preconizează, de asemenea, că modificările propuse vor duce la economii semnificative de costuri pentru întreprinderile care intră în domeniul de aplicare atunci când efectuează raportarea privind durabilitatea. </w:t>
      </w:r>
    </w:p>
    <w:p w14:paraId="1C8339DF" w14:textId="77777777" w:rsidR="00CA2B31" w:rsidRPr="00057FB8" w:rsidRDefault="00DD4334"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Se estimează că modificările aduse Directivei (UE) 2024/1760 incluse în prezenta propunere vor reduce sarcina de asigurare a conformității pentru întreprinderi, deoarece acestea vor avea mai mult timp să se pregătească pentru conformare, să își adapteze politicile, procesele și procedurile, ținând seama și de orientările pe care Comisia le va emite, permițându-le să se bazeze pe cele mai bune practici și să își reducă dependența de serviciile de consultanță și de consiliere juridică.</w:t>
      </w:r>
    </w:p>
    <w:p w14:paraId="714FE192" w14:textId="77777777" w:rsidR="00CA2B31" w:rsidRPr="00057FB8" w:rsidRDefault="00CA2B31" w:rsidP="00CA2B31">
      <w:pPr>
        <w:pStyle w:val="ManualHeading3"/>
        <w:rPr>
          <w:noProof/>
        </w:rPr>
      </w:pPr>
      <w:bookmarkStart w:id="38" w:name="_Toc514938023"/>
      <w:bookmarkStart w:id="39" w:name="_Toc520485033"/>
      <w:bookmarkStart w:id="40" w:name="_Toc160804575"/>
      <w:bookmarkStart w:id="41" w:name="_Toc167220267"/>
      <w:bookmarkStart w:id="42" w:name="_Toc177548999"/>
      <w:r w:rsidRPr="00057FB8">
        <w:rPr>
          <w:noProof/>
        </w:rPr>
        <w:t>1.3.4.</w:t>
      </w:r>
      <w:r w:rsidRPr="00057FB8">
        <w:rPr>
          <w:noProof/>
        </w:rPr>
        <w:tab/>
        <w:t>Indicatori de performanță</w:t>
      </w:r>
      <w:bookmarkEnd w:id="38"/>
      <w:bookmarkEnd w:id="39"/>
      <w:bookmarkEnd w:id="40"/>
      <w:bookmarkEnd w:id="41"/>
      <w:bookmarkEnd w:id="42"/>
    </w:p>
    <w:p w14:paraId="208D9BC5" w14:textId="77777777" w:rsidR="00CA2B31" w:rsidRPr="00057FB8" w:rsidRDefault="00CA2B31" w:rsidP="00CA2B31">
      <w:pPr>
        <w:pStyle w:val="Text1"/>
        <w:rPr>
          <w:i/>
          <w:noProof/>
          <w:sz w:val="20"/>
        </w:rPr>
      </w:pPr>
      <w:r w:rsidRPr="00057FB8">
        <w:rPr>
          <w:i/>
          <w:noProof/>
          <w:sz w:val="20"/>
        </w:rPr>
        <w:t>A se preciza indicatorii care permit monitorizarea progreselor și a realizărilor obținute.</w:t>
      </w:r>
    </w:p>
    <w:p w14:paraId="739DA69C" w14:textId="61ACD0D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CSRD a fost aplicată de un prim set de întreprinderi care își publică primele declarații privind durabilitatea, în principal în prima jumătate a anului 2025. Prin urmare, nu a fost posibil să se efectueze o evaluare </w:t>
      </w:r>
      <w:r w:rsidRPr="00057FB8">
        <w:rPr>
          <w:i/>
          <w:noProof/>
        </w:rPr>
        <w:t>ex post</w:t>
      </w:r>
      <w:r w:rsidRPr="00057FB8">
        <w:rPr>
          <w:noProof/>
        </w:rPr>
        <w:t xml:space="preserve"> sau o verificare a adecvării niciunuia dintre actele legislative.</w:t>
      </w:r>
      <w:r w:rsidR="00741D62">
        <w:rPr>
          <w:noProof/>
        </w:rPr>
        <w:t xml:space="preserve"> </w:t>
      </w:r>
    </w:p>
    <w:p w14:paraId="020DAAE8"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Pentru a monitoriza progresele înregistrate în direcția atingerii obiectivelor specifice ale propunerii, Comisia va analiza posibilitatea de a organiza schimburi cu părțile interesate în diferite formate, precum și sondaje periodice în rândul utilizatorilor de informații privind durabilitatea și al întreprinderilor care raportează astfel de informații, în funcție de disponibilitatea resurselor financiare. Articolul 6 din CSRD prevede obligația Comisiei de a prezenta un raport privind punerea în aplicare a directivei până în aprilie 2029. </w:t>
      </w:r>
    </w:p>
    <w:p w14:paraId="6162400D"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În prezenta propunere, Comisia se angajează, de asemenea, să revizuiască primul set de standarde europene de raportare privind durabilitatea (ESRS). În temeiul Directivei 2013/34/UE, Comisia ar trebui să revizuiască respectivele standarde de raportare privind durabilitatea, inclusiv standardele de raportare privind durabilitatea pentru întreprinderile mici și mijlocii, o dată la trei ani, pentru a ține seama de evoluțiile relevante, inclusiv de evoluția standardelor internaționale.</w:t>
      </w:r>
    </w:p>
    <w:p w14:paraId="11400E4A" w14:textId="77777777" w:rsidR="00CA2B31" w:rsidRPr="00057FB8" w:rsidRDefault="00CA2B31" w:rsidP="00381DB2">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Punerea în aplicare a Directivei privind diligența necesară în materie de durabilitate a întreprinderilor (CSDDD), în forma sa modificată, și eficacitatea sa în materie de atingere a obiectivelor urmărite, în special în ceea ce privește abordarea impacturilor negative, vor face, de asemenea, obiectul unei evaluări periodice în conformitate cu articolul 36 din directiva respectivă. </w:t>
      </w:r>
    </w:p>
    <w:p w14:paraId="6170F603"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Pentru a monitoriza progresele generate de aceste propuneri vor fi utilizați mai mulți indicatori, precum eficacitatea și promptitudinea acțiunilor propuse, eficiența proceselor de colectare și prelucrare a datelor în conformitate cu cerințele de raportare privind durabilitatea și obiectivul de a limita sarcina administrativă și de a evita cerințele de raportare inutile sau redundante.</w:t>
      </w:r>
    </w:p>
    <w:p w14:paraId="459AB5B8" w14:textId="77777777" w:rsidR="00CA2B31" w:rsidRPr="00057FB8" w:rsidRDefault="00CA2B31" w:rsidP="00CA2B31">
      <w:pPr>
        <w:pStyle w:val="ManualHeading2"/>
        <w:rPr>
          <w:noProof/>
        </w:rPr>
      </w:pPr>
      <w:bookmarkStart w:id="43" w:name="_Toc177549000"/>
      <w:r w:rsidRPr="00057FB8">
        <w:rPr>
          <w:noProof/>
        </w:rPr>
        <w:t>1.4.</w:t>
      </w:r>
      <w:r w:rsidRPr="00057FB8">
        <w:rPr>
          <w:noProof/>
        </w:rPr>
        <w:tab/>
        <w:t>Obiectul propunerii/inițiativei</w:t>
      </w:r>
      <w:bookmarkEnd w:id="43"/>
      <w:r w:rsidRPr="00057FB8">
        <w:rPr>
          <w:noProof/>
        </w:rPr>
        <w:t xml:space="preserve"> </w:t>
      </w:r>
    </w:p>
    <w:p w14:paraId="5B3A2B82" w14:textId="77777777" w:rsidR="00CA2B31" w:rsidRPr="00057FB8" w:rsidRDefault="00CA2B31" w:rsidP="00CA2B31">
      <w:pPr>
        <w:pStyle w:val="Text1"/>
        <w:rPr>
          <w:noProof/>
          <w:sz w:val="22"/>
        </w:rPr>
      </w:pPr>
      <w:r w:rsidRPr="00057FB8">
        <w:rPr>
          <w:rFonts w:ascii="Wingdings" w:hAnsi="Wingdings"/>
          <w:noProof/>
          <w:sz w:val="22"/>
        </w:rPr>
        <w:t></w:t>
      </w:r>
      <w:r w:rsidRPr="00057FB8">
        <w:rPr>
          <w:i/>
          <w:noProof/>
          <w:sz w:val="22"/>
        </w:rPr>
        <w:t xml:space="preserve"> </w:t>
      </w:r>
      <w:r w:rsidRPr="00057FB8">
        <w:rPr>
          <w:noProof/>
        </w:rPr>
        <w:t>o acțiune nouă</w:t>
      </w:r>
      <w:r w:rsidRPr="00057FB8">
        <w:rPr>
          <w:noProof/>
          <w:sz w:val="22"/>
        </w:rPr>
        <w:t xml:space="preserve"> </w:t>
      </w:r>
    </w:p>
    <w:p w14:paraId="61A407FF" w14:textId="77777777" w:rsidR="00CA2B31" w:rsidRPr="00057FB8" w:rsidRDefault="00CA2B31" w:rsidP="00CA2B31">
      <w:pPr>
        <w:pStyle w:val="Text1"/>
        <w:rPr>
          <w:noProof/>
          <w:sz w:val="22"/>
        </w:rPr>
      </w:pPr>
      <w:r w:rsidRPr="00057FB8">
        <w:rPr>
          <w:rFonts w:ascii="Wingdings" w:hAnsi="Wingdings"/>
          <w:noProof/>
          <w:sz w:val="22"/>
        </w:rPr>
        <w:t></w:t>
      </w:r>
      <w:r w:rsidRPr="00057FB8">
        <w:rPr>
          <w:i/>
          <w:noProof/>
          <w:sz w:val="22"/>
        </w:rPr>
        <w:t xml:space="preserve"> </w:t>
      </w:r>
      <w:r w:rsidRPr="00057FB8">
        <w:rPr>
          <w:noProof/>
        </w:rPr>
        <w:t>o acțiune nouă întreprinsă ca urmare a unui proiect-pilot/a unei acțiuni pregătitoare</w:t>
      </w:r>
      <w:r w:rsidRPr="00057FB8">
        <w:rPr>
          <w:rStyle w:val="FootnoteReference"/>
          <w:noProof/>
        </w:rPr>
        <w:footnoteReference w:id="27"/>
      </w:r>
      <w:r w:rsidRPr="00057FB8">
        <w:rPr>
          <w:noProof/>
          <w:sz w:val="22"/>
        </w:rPr>
        <w:t xml:space="preserve"> </w:t>
      </w:r>
    </w:p>
    <w:p w14:paraId="6CD39F72" w14:textId="77777777" w:rsidR="00CA2B31" w:rsidRPr="00057FB8" w:rsidRDefault="00CA2B31" w:rsidP="00CA2B31">
      <w:pPr>
        <w:pStyle w:val="Text1"/>
        <w:rPr>
          <w:noProof/>
          <w:sz w:val="22"/>
        </w:rPr>
      </w:pPr>
      <w:r w:rsidRPr="00057FB8">
        <w:rPr>
          <w:rFonts w:ascii="Wingdings" w:hAnsi="Wingdings"/>
          <w:noProof/>
          <w:sz w:val="22"/>
        </w:rPr>
        <w:t></w:t>
      </w:r>
      <w:r w:rsidRPr="00057FB8">
        <w:rPr>
          <w:i/>
          <w:noProof/>
          <w:sz w:val="22"/>
        </w:rPr>
        <w:t xml:space="preserve"> </w:t>
      </w:r>
      <w:r w:rsidRPr="00057FB8">
        <w:rPr>
          <w:noProof/>
        </w:rPr>
        <w:t>prelungirea unei acțiuni existente</w:t>
      </w:r>
      <w:r w:rsidRPr="00057FB8">
        <w:rPr>
          <w:noProof/>
          <w:sz w:val="22"/>
        </w:rPr>
        <w:t xml:space="preserve"> </w:t>
      </w:r>
    </w:p>
    <w:p w14:paraId="0D98C224" w14:textId="77777777" w:rsidR="00CA2B31" w:rsidRPr="00057FB8" w:rsidRDefault="00161789" w:rsidP="00CA2B31">
      <w:pPr>
        <w:pStyle w:val="Text1"/>
        <w:rPr>
          <w:noProof/>
        </w:rPr>
      </w:pPr>
      <w:r w:rsidRPr="00057FB8">
        <w:rPr>
          <w:rFonts w:ascii="Wingdings" w:hAnsi="Wingdings"/>
          <w:noProof/>
          <w:sz w:val="22"/>
        </w:rPr>
        <w:t></w:t>
      </w:r>
      <w:r w:rsidRPr="00057FB8">
        <w:rPr>
          <w:i/>
          <w:noProof/>
          <w:sz w:val="22"/>
        </w:rPr>
        <w:t xml:space="preserve"> </w:t>
      </w:r>
      <w:r w:rsidRPr="00057FB8">
        <w:rPr>
          <w:noProof/>
        </w:rPr>
        <w:t>o fuziune sau o redirecționare a uneia sau mai multor acțiuni către o altă/o nouă acțiune</w:t>
      </w:r>
    </w:p>
    <w:p w14:paraId="385C9DF2" w14:textId="77777777" w:rsidR="00CA2B31" w:rsidRPr="00057FB8" w:rsidRDefault="00CA2B31" w:rsidP="00CA2B31">
      <w:pPr>
        <w:pStyle w:val="ManualHeading2"/>
        <w:rPr>
          <w:bCs/>
          <w:noProof/>
          <w:szCs w:val="24"/>
        </w:rPr>
      </w:pPr>
      <w:bookmarkStart w:id="44" w:name="_Toc514938025"/>
      <w:bookmarkStart w:id="45" w:name="_Toc520485034"/>
      <w:bookmarkStart w:id="46" w:name="_Toc160804576"/>
      <w:bookmarkStart w:id="47" w:name="_Toc167220268"/>
      <w:bookmarkStart w:id="48" w:name="_Toc177549001"/>
      <w:r w:rsidRPr="00057FB8">
        <w:rPr>
          <w:noProof/>
        </w:rPr>
        <w:t>1.5.</w:t>
      </w:r>
      <w:r w:rsidRPr="00057FB8">
        <w:rPr>
          <w:noProof/>
        </w:rPr>
        <w:tab/>
        <w:t>Motivele propunerii/inițiativei</w:t>
      </w:r>
      <w:bookmarkEnd w:id="44"/>
      <w:bookmarkEnd w:id="45"/>
      <w:bookmarkEnd w:id="46"/>
      <w:bookmarkEnd w:id="47"/>
      <w:bookmarkEnd w:id="48"/>
      <w:r w:rsidRPr="00057FB8">
        <w:rPr>
          <w:noProof/>
        </w:rPr>
        <w:t xml:space="preserve"> </w:t>
      </w:r>
    </w:p>
    <w:p w14:paraId="54240F99" w14:textId="77777777" w:rsidR="00CA2B31" w:rsidRPr="00057FB8" w:rsidRDefault="00CA2B31" w:rsidP="00CA2B31">
      <w:pPr>
        <w:pStyle w:val="ManualHeading3"/>
        <w:rPr>
          <w:noProof/>
        </w:rPr>
      </w:pPr>
      <w:bookmarkStart w:id="49" w:name="_Toc514938026"/>
      <w:bookmarkStart w:id="50" w:name="_Toc520485035"/>
      <w:bookmarkStart w:id="51" w:name="_Toc160804577"/>
      <w:bookmarkStart w:id="52" w:name="_Toc167220269"/>
      <w:bookmarkStart w:id="53" w:name="_Toc177549002"/>
      <w:r w:rsidRPr="00057FB8">
        <w:rPr>
          <w:noProof/>
        </w:rPr>
        <w:t>1.5.1.</w:t>
      </w:r>
      <w:r w:rsidRPr="00057FB8">
        <w:rPr>
          <w:noProof/>
        </w:rPr>
        <w:tab/>
        <w:t>Cerința (cerințele) care trebuie îndeplinită (îndeplinite) pe termen scurt sau lung, inclusiv un calendar detaliat pentru punerea în aplicare a inițiativei</w:t>
      </w:r>
      <w:bookmarkEnd w:id="49"/>
      <w:bookmarkEnd w:id="50"/>
      <w:bookmarkEnd w:id="51"/>
      <w:bookmarkEnd w:id="52"/>
      <w:bookmarkEnd w:id="53"/>
    </w:p>
    <w:p w14:paraId="067753C0"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Prin prezenta propunere, Comisia propune o directivă de modificare a Directivelor (UE) 2022/2464 și (UE) 2024/1760. Odată ce colegiuitorii vor ajunge la un acord cu privire la conținutul propunerii, statele membre vor avea la dispoziție o anumită perioadă de timp pentru a transpune modificările introduse prin prezenta directivă în ceea ce privește amânarea datei de la care anumite grupuri de întreprinderi trebuie să aplice directivele respective în legislația lor națională. În prezenta propunere, termenul de transpunere este stabilit la 31 decembrie 2025. De asemenea, prezenta propunere urmărește să amâne cu un an termenul de transpunere a Directivei (UE) 2024/1760. Prin urmare, statele membre ar urma să aibă obligația de a transpune CSDDD până cel târziu la 26 iulie 2027.</w:t>
      </w:r>
    </w:p>
    <w:p w14:paraId="2AD4A732" w14:textId="77777777" w:rsidR="00A71B9A" w:rsidRPr="00057FB8" w:rsidRDefault="00CA2B31" w:rsidP="00A71B9A">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Într-o propunere legislativă separată, Comisia propune modificarea unei serii de dispoziții ale Directivelor 2006/43/CE, 2013/34/UE, (UE) 2022/2464 și (UE) 2024/1760. Comisia propune, totodată, revizuirea Regulamentului delegat (UE) 2023/2772 al Comisiei (Standardele europene de raportare privind durabilitatea). Comisia va adopta actul delegat revizuit privind ESRS în timp util pentru ca întreprinderile din valul al doilea care ar trebui să înceapă raportarea în temeiul CSRD în 2028 pentru exercițiul financiar 2027 să poată aplica standardele revizuite. </w:t>
      </w:r>
    </w:p>
    <w:p w14:paraId="3B1EF6B7"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Pentru a monitoriza progresele înregistrate în direcția atingerii obiectivelor specifice ale propunerii, Comisia va analiza posibilitatea de a organiza schimburi cu părțile interesate în diferite formate, precum și sondaje periodice în rândul utilizatorilor de informații privind durabilitatea și al întreprinderilor care raportează astfel de informații, în funcție de disponibilitatea resurselor financiare. Articolul 6 din CSRD prevede obligația Comisiei de a prezenta un raport privind punerea în aplicare a directivei până în aprilie 2029. Punerea în aplicare a CSDDD, în forma sa modificată, și eficacitatea sa în materie de atingere a obiectivelor urmărite, în special în ceea ce privește abordarea impacturilor negative, vor face, de asemenea, obiectul unei evaluări periodice în conformitate cu articolul 36 din directiva respectivă. Prezenta propunere nu necesită un plan de punere în aplicare.</w:t>
      </w:r>
    </w:p>
    <w:p w14:paraId="2DEBA43F" w14:textId="77777777" w:rsidR="00CA2B31" w:rsidRPr="00057FB8" w:rsidRDefault="00CA2B31" w:rsidP="00CA2B31">
      <w:pPr>
        <w:pStyle w:val="ManualHeading3"/>
        <w:rPr>
          <w:bCs/>
          <w:noProof/>
          <w:szCs w:val="24"/>
        </w:rPr>
      </w:pPr>
      <w:bookmarkStart w:id="54" w:name="_Toc514938029"/>
      <w:bookmarkStart w:id="55" w:name="_Toc520485036"/>
      <w:bookmarkStart w:id="56" w:name="_Toc160804578"/>
      <w:bookmarkStart w:id="57" w:name="_Toc167220270"/>
      <w:bookmarkStart w:id="58" w:name="_Toc177549003"/>
      <w:r w:rsidRPr="00057FB8">
        <w:rPr>
          <w:noProof/>
        </w:rPr>
        <w:t>1.5.2.</w:t>
      </w:r>
      <w:r w:rsidRPr="00057FB8">
        <w:rPr>
          <w:noProof/>
        </w:rPr>
        <w:tab/>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bookmarkEnd w:id="54"/>
      <w:bookmarkEnd w:id="55"/>
      <w:bookmarkEnd w:id="56"/>
      <w:bookmarkEnd w:id="57"/>
      <w:bookmarkEnd w:id="58"/>
    </w:p>
    <w:p w14:paraId="4408CF97" w14:textId="233E3C9A"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Directiva contabilă, astfel cum a fost modificată prin CSRD, reglementează deja prezentarea de informații privind durabilitatea în UE. Grație normelor comune pentru raportarea privind durabilitatea și pentru asigurarea acesteia, întreprinderile stabilite în diferitele state membre beneficiază de condiții de concurență echitabile. Diferențele semnificative dintre statele membre în ceea ce privește cerințele de raportare și asigurare privind durabilitatea ar crea costuri suplimentare și un cadru complex pentru întreprinderile care își desfășoară activitatea la nivel transfrontalier, ceea ce ar fi în detrimentul pieței unice. Statele membre, acționând individual, nu sunt în măsură să modifice legislația existentă a UE pentru a reduce sarcina impusă întreprinderilor.</w:t>
      </w:r>
      <w:r w:rsidR="00741D62">
        <w:rPr>
          <w:noProof/>
        </w:rPr>
        <w:t xml:space="preserve"> </w:t>
      </w:r>
    </w:p>
    <w:p w14:paraId="2110B15E" w14:textId="77777777" w:rsidR="00B52CFF" w:rsidRPr="00057FB8" w:rsidRDefault="00B52CFF" w:rsidP="00065E58">
      <w:pPr>
        <w:pStyle w:val="Text1"/>
        <w:pBdr>
          <w:top w:val="single" w:sz="4" w:space="1" w:color="auto"/>
          <w:left w:val="single" w:sz="4" w:space="4" w:color="auto"/>
          <w:bottom w:val="single" w:sz="4" w:space="1" w:color="auto"/>
          <w:right w:val="single" w:sz="4" w:space="4" w:color="auto"/>
        </w:pBdr>
        <w:rPr>
          <w:noProof/>
        </w:rPr>
      </w:pPr>
      <w:r w:rsidRPr="00057FB8">
        <w:rPr>
          <w:noProof/>
        </w:rPr>
        <w:t xml:space="preserve">În mod similar, CSDDD stabilește deja un cadru de reglementare armonizat pentru diligența necesară în materie de durabilitate a întreprinderilor și acoperă, de asemenea, anumite întreprinderi din țări terțe care își desfășoară activitatea pe piața UE, asigurând condiții de concurență echitabile în acest domeniu de politică. </w:t>
      </w:r>
    </w:p>
    <w:p w14:paraId="18713100" w14:textId="77777777" w:rsidR="00CA2B31" w:rsidRPr="00057FB8" w:rsidRDefault="00CA2B31" w:rsidP="00CA2B31">
      <w:pPr>
        <w:pStyle w:val="ManualHeading3"/>
        <w:rPr>
          <w:noProof/>
        </w:rPr>
      </w:pPr>
      <w:bookmarkStart w:id="59" w:name="_Toc514938030"/>
      <w:bookmarkStart w:id="60" w:name="_Toc520485037"/>
      <w:bookmarkStart w:id="61" w:name="_Toc160804579"/>
      <w:bookmarkStart w:id="62" w:name="_Toc167220271"/>
      <w:bookmarkStart w:id="63" w:name="_Toc177549004"/>
      <w:r w:rsidRPr="00057FB8">
        <w:rPr>
          <w:noProof/>
        </w:rPr>
        <w:t>1.5.3.</w:t>
      </w:r>
      <w:r w:rsidRPr="00057FB8">
        <w:rPr>
          <w:noProof/>
        </w:rPr>
        <w:tab/>
        <w:t>Învățăminte desprinse din experiențele anterioare similare</w:t>
      </w:r>
      <w:bookmarkEnd w:id="59"/>
      <w:bookmarkEnd w:id="60"/>
      <w:bookmarkEnd w:id="61"/>
      <w:bookmarkEnd w:id="62"/>
      <w:bookmarkEnd w:id="63"/>
    </w:p>
    <w:p w14:paraId="49719C46"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Nu se aplică.</w:t>
      </w:r>
    </w:p>
    <w:p w14:paraId="26850A04" w14:textId="77777777" w:rsidR="00CA2B31" w:rsidRPr="00057FB8" w:rsidRDefault="00CA2B31" w:rsidP="00CA2B31">
      <w:pPr>
        <w:pStyle w:val="ManualHeading3"/>
        <w:rPr>
          <w:noProof/>
        </w:rPr>
      </w:pPr>
      <w:bookmarkStart w:id="64" w:name="_Toc514938033"/>
      <w:bookmarkStart w:id="65" w:name="_Toc520485038"/>
      <w:bookmarkStart w:id="66" w:name="_Toc160804580"/>
      <w:bookmarkStart w:id="67" w:name="_Toc167220272"/>
      <w:bookmarkStart w:id="68" w:name="_Toc177549005"/>
      <w:r w:rsidRPr="00057FB8">
        <w:rPr>
          <w:noProof/>
        </w:rPr>
        <w:t>1.5.4.</w:t>
      </w:r>
      <w:r w:rsidRPr="00057FB8">
        <w:rPr>
          <w:noProof/>
        </w:rPr>
        <w:tab/>
        <w:t>Compatibilitatea cu cadrul financiar multianual și posibilele sinergii cu alte instrumente corespunzătoare</w:t>
      </w:r>
      <w:bookmarkEnd w:id="64"/>
      <w:bookmarkEnd w:id="65"/>
      <w:bookmarkEnd w:id="66"/>
      <w:bookmarkEnd w:id="67"/>
      <w:bookmarkEnd w:id="68"/>
    </w:p>
    <w:p w14:paraId="58DDF419"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Nu se aplică.</w:t>
      </w:r>
    </w:p>
    <w:p w14:paraId="55EA4935" w14:textId="77777777" w:rsidR="00CA2B31" w:rsidRPr="00057FB8" w:rsidRDefault="00CA2B31" w:rsidP="00CA2B31">
      <w:pPr>
        <w:pStyle w:val="ManualHeading3"/>
        <w:rPr>
          <w:noProof/>
        </w:rPr>
      </w:pPr>
      <w:bookmarkStart w:id="69" w:name="_Toc514938036"/>
      <w:bookmarkStart w:id="70" w:name="_Toc520485039"/>
      <w:bookmarkStart w:id="71" w:name="_Toc160804581"/>
      <w:bookmarkStart w:id="72" w:name="_Toc167220273"/>
      <w:bookmarkStart w:id="73" w:name="_Toc177549006"/>
      <w:r w:rsidRPr="00057FB8">
        <w:rPr>
          <w:noProof/>
        </w:rPr>
        <w:t>1.5.5.</w:t>
      </w:r>
      <w:r w:rsidRPr="00057FB8">
        <w:rPr>
          <w:noProof/>
        </w:rPr>
        <w:tab/>
        <w:t xml:space="preserve">Evaluarea diferitelor opțiuni de finanțare disponibile, inclusiv a posibilităților de realocare a creditelor </w:t>
      </w:r>
      <w:bookmarkEnd w:id="69"/>
      <w:bookmarkEnd w:id="70"/>
      <w:bookmarkEnd w:id="71"/>
      <w:bookmarkEnd w:id="72"/>
      <w:bookmarkEnd w:id="73"/>
    </w:p>
    <w:p w14:paraId="18076633"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r w:rsidRPr="00057FB8">
        <w:rPr>
          <w:noProof/>
        </w:rPr>
        <w:t>Nu se aplică.</w:t>
      </w:r>
    </w:p>
    <w:p w14:paraId="6EE8743D" w14:textId="77777777" w:rsidR="00CA2B31" w:rsidRPr="00057FB8" w:rsidRDefault="00CA2B31" w:rsidP="00CA2B31">
      <w:pPr>
        <w:rPr>
          <w:noProof/>
        </w:rPr>
        <w:sectPr w:rsidR="00CA2B31" w:rsidRPr="00057FB8" w:rsidSect="0033790A">
          <w:pgSz w:w="11907" w:h="16840" w:code="9"/>
          <w:pgMar w:top="1134" w:right="1418" w:bottom="1134" w:left="1418" w:header="709" w:footer="709" w:gutter="0"/>
          <w:cols w:space="708"/>
          <w:docGrid w:linePitch="360"/>
        </w:sectPr>
      </w:pPr>
    </w:p>
    <w:p w14:paraId="66C02D76" w14:textId="77777777" w:rsidR="00CA2B31" w:rsidRPr="00057FB8" w:rsidRDefault="00CA2B31" w:rsidP="00CA2B31">
      <w:pPr>
        <w:pStyle w:val="ManualHeading1"/>
        <w:rPr>
          <w:bCs/>
          <w:noProof/>
          <w:szCs w:val="24"/>
        </w:rPr>
      </w:pPr>
      <w:bookmarkStart w:id="74" w:name="_Toc514938050"/>
      <w:bookmarkStart w:id="75" w:name="_Toc520485049"/>
      <w:bookmarkStart w:id="76" w:name="_Toc160804591"/>
      <w:bookmarkStart w:id="77" w:name="_Toc167220283"/>
      <w:bookmarkStart w:id="78" w:name="_Toc177549016"/>
      <w:r w:rsidRPr="00057FB8">
        <w:rPr>
          <w:noProof/>
        </w:rPr>
        <w:t>3.</w:t>
      </w:r>
      <w:r w:rsidRPr="00057FB8">
        <w:rPr>
          <w:noProof/>
        </w:rPr>
        <w:tab/>
        <w:t>IMPACTUL FINANCIAR ESTIMAT AL PROPUNERII/INIȚIATIVEI</w:t>
      </w:r>
      <w:bookmarkEnd w:id="74"/>
      <w:bookmarkEnd w:id="75"/>
      <w:bookmarkEnd w:id="76"/>
      <w:bookmarkEnd w:id="77"/>
      <w:bookmarkEnd w:id="78"/>
      <w:r w:rsidRPr="00057FB8">
        <w:rPr>
          <w:noProof/>
        </w:rPr>
        <w:t xml:space="preserve"> </w:t>
      </w:r>
    </w:p>
    <w:p w14:paraId="759CF7E2" w14:textId="77777777" w:rsidR="00CA2B31" w:rsidRPr="00057FB8" w:rsidRDefault="00CA2B31" w:rsidP="00CA2B31">
      <w:pPr>
        <w:pStyle w:val="ManualHeading2"/>
        <w:rPr>
          <w:noProof/>
        </w:rPr>
      </w:pPr>
      <w:bookmarkStart w:id="79" w:name="_Toc514938051"/>
      <w:bookmarkStart w:id="80" w:name="_Toc520485050"/>
      <w:bookmarkStart w:id="81" w:name="_Toc160804592"/>
      <w:bookmarkStart w:id="82" w:name="_Toc167220284"/>
      <w:bookmarkStart w:id="83" w:name="_Toc177549017"/>
      <w:r w:rsidRPr="00057FB8">
        <w:rPr>
          <w:noProof/>
        </w:rPr>
        <w:t>3.1.</w:t>
      </w:r>
      <w:r w:rsidRPr="00057FB8">
        <w:rPr>
          <w:noProof/>
        </w:rPr>
        <w:tab/>
        <w:t>Rubrica (rubricile) din cadrul financiar multianual și linia (liniile) bugetară (bugetare) de cheltuieli afectată (afectate)</w:t>
      </w:r>
      <w:bookmarkEnd w:id="79"/>
      <w:bookmarkEnd w:id="80"/>
      <w:bookmarkEnd w:id="81"/>
      <w:bookmarkEnd w:id="82"/>
      <w:bookmarkEnd w:id="83"/>
      <w:r w:rsidRPr="00057FB8">
        <w:rPr>
          <w:noProof/>
        </w:rPr>
        <w:t xml:space="preserve"> </w:t>
      </w:r>
    </w:p>
    <w:p w14:paraId="21DE8826" w14:textId="77777777" w:rsidR="00CA2B31" w:rsidRPr="00057FB8" w:rsidRDefault="00CA2B31" w:rsidP="00CA2B31">
      <w:pPr>
        <w:pStyle w:val="Text1"/>
        <w:pBdr>
          <w:top w:val="single" w:sz="4" w:space="1" w:color="auto"/>
          <w:left w:val="single" w:sz="4" w:space="4" w:color="auto"/>
          <w:bottom w:val="single" w:sz="4" w:space="1" w:color="auto"/>
          <w:right w:val="single" w:sz="4" w:space="4" w:color="auto"/>
        </w:pBdr>
        <w:rPr>
          <w:noProof/>
        </w:rPr>
      </w:pPr>
      <w:bookmarkStart w:id="84" w:name="_Hlk157691648"/>
      <w:r w:rsidRPr="00057FB8">
        <w:rPr>
          <w:noProof/>
        </w:rPr>
        <w:t>Nu se aplică.</w:t>
      </w:r>
    </w:p>
    <w:p w14:paraId="7119D4C5" w14:textId="77777777" w:rsidR="00CA2B31" w:rsidRPr="00057FB8" w:rsidRDefault="00CA2B31" w:rsidP="00CA2B31">
      <w:pPr>
        <w:pStyle w:val="ManualHeading1"/>
        <w:rPr>
          <w:caps/>
          <w:noProof/>
        </w:rPr>
      </w:pPr>
      <w:bookmarkStart w:id="85" w:name="_Toc167220301"/>
      <w:bookmarkStart w:id="86" w:name="_Toc177549035"/>
      <w:bookmarkEnd w:id="84"/>
      <w:r w:rsidRPr="00057FB8">
        <w:rPr>
          <w:noProof/>
        </w:rPr>
        <w:t>4.</w:t>
      </w:r>
      <w:r w:rsidRPr="00057FB8">
        <w:rPr>
          <w:noProof/>
        </w:rPr>
        <w:tab/>
      </w:r>
      <w:bookmarkStart w:id="87" w:name="_Hlk167692977"/>
      <w:r w:rsidRPr="00057FB8">
        <w:rPr>
          <w:caps/>
          <w:noProof/>
        </w:rPr>
        <w:t>Dimensiunile digitale</w:t>
      </w:r>
      <w:bookmarkEnd w:id="85"/>
      <w:bookmarkEnd w:id="86"/>
    </w:p>
    <w:p w14:paraId="070487E6" w14:textId="77777777" w:rsidR="00CA2B31" w:rsidRPr="00057FB8" w:rsidRDefault="00CA2B31" w:rsidP="00CA2B31">
      <w:pPr>
        <w:pStyle w:val="ManualHeading2"/>
        <w:rPr>
          <w:noProof/>
        </w:rPr>
      </w:pPr>
      <w:bookmarkStart w:id="88" w:name="_Toc167220302"/>
      <w:bookmarkStart w:id="89" w:name="_Toc177549037"/>
      <w:r w:rsidRPr="00057FB8">
        <w:rPr>
          <w:noProof/>
        </w:rPr>
        <w:t>4.1.</w:t>
      </w:r>
      <w:r w:rsidRPr="00057FB8">
        <w:rPr>
          <w:noProof/>
        </w:rPr>
        <w:tab/>
        <w:t>Cerințe cu relevanță digitală</w:t>
      </w:r>
      <w:bookmarkEnd w:id="88"/>
      <w:bookmarkEnd w:id="89"/>
    </w:p>
    <w:tbl>
      <w:tblPr>
        <w:tblStyle w:val="TableGrid"/>
        <w:tblW w:w="9072" w:type="dxa"/>
        <w:tblInd w:w="-5" w:type="dxa"/>
        <w:tblLayout w:type="fixed"/>
        <w:tblLook w:val="06A0" w:firstRow="1" w:lastRow="0" w:firstColumn="1" w:lastColumn="0" w:noHBand="1" w:noVBand="1"/>
      </w:tblPr>
      <w:tblGrid>
        <w:gridCol w:w="9072"/>
      </w:tblGrid>
      <w:tr w:rsidR="00CA2B31" w:rsidRPr="00057FB8" w14:paraId="1FF1B370" w14:textId="77777777">
        <w:trPr>
          <w:trHeight w:val="300"/>
        </w:trPr>
        <w:tc>
          <w:tcPr>
            <w:tcW w:w="9072" w:type="dxa"/>
          </w:tcPr>
          <w:p w14:paraId="53DE3F9F" w14:textId="77777777" w:rsidR="00CA2B31" w:rsidRPr="00057FB8" w:rsidRDefault="00CA2B31">
            <w:pPr>
              <w:rPr>
                <w:noProof/>
              </w:rPr>
            </w:pPr>
            <w:r w:rsidRPr="00057FB8">
              <w:rPr>
                <w:noProof/>
              </w:rPr>
              <w:t xml:space="preserve">Cerințele de raportare introduse prin Directiva 2013/34/UE impun întreprinderilor să colecteze și să raporteze date privind impacturile, riscurile și oportunitățile lor în ceea ce privește aspectele semnificative legate de durabilitate. Acest exercițiu implică un proces semnificativ de identificare, colectare, prelucrare, verificare și publicare de date. Pentru a colecta datele relevante, întreprinderile utilizează adesea platforme digitale de colectare și de partajare a datelor. În plus, pentru a stoca și a prelucra datele în scopul raportării privind durabilitatea, întreprinderile utilizează adesea și instrumente digitale de gestionare a datelor. </w:t>
            </w:r>
          </w:p>
          <w:p w14:paraId="103B9207" w14:textId="77777777" w:rsidR="00CA2B31" w:rsidRPr="00057FB8" w:rsidRDefault="00CA2B31">
            <w:pPr>
              <w:rPr>
                <w:noProof/>
              </w:rPr>
            </w:pPr>
            <w:r w:rsidRPr="00057FB8">
              <w:rPr>
                <w:noProof/>
              </w:rPr>
              <w:t xml:space="preserve">Utilizatorii de informații privind durabilitatea se așteaptă din ce în ce mai mult ca aceste informații să poată fi accesate, comparate și citite automat în formate digitale. Statele membre trebuie să impună ca întreprinderile care sunt supuse cerințelor de raportare privind durabilitatea din Directiva 2013/34/UE să pună în mod gratuit la dispoziția publicului, pe site-urile lor web, rapoartele administratorilor. Digitalizarea creează oportunități de exploatare a informațiilor într-un mod mai eficient și are potențialul de a genera economii semnificative de costuri atât pentru utilizatori, cât și pentru întreprinderi. Digitalizarea permite, de asemenea, centralizarea datelor la nivelul Uniunii și al statelor membre, într-un format deschis și accesibil, care facilitează citirea și permite compararea datelor. Aceste cerințe completează, de asemenea, crearea unui punct unic de acces european (ESAP) pentru informațiile publice referitoare la întreprinderi. </w:t>
            </w:r>
          </w:p>
          <w:p w14:paraId="585DD329" w14:textId="77777777" w:rsidR="00CA2B31" w:rsidRPr="00057FB8" w:rsidRDefault="00CA2B31">
            <w:pPr>
              <w:rPr>
                <w:noProof/>
              </w:rPr>
            </w:pPr>
            <w:r w:rsidRPr="00057FB8">
              <w:rPr>
                <w:noProof/>
              </w:rPr>
              <w:t xml:space="preserve">În ceea ce privește cerințele specifice din directivă care sunt relevante din punct de vedere digital, a se vedea mai jos. </w:t>
            </w:r>
          </w:p>
          <w:p w14:paraId="227AA3B6" w14:textId="77777777" w:rsidR="00C8775A" w:rsidRPr="00057FB8" w:rsidRDefault="00C8775A" w:rsidP="00C8775A">
            <w:pPr>
              <w:rPr>
                <w:noProof/>
              </w:rPr>
            </w:pPr>
            <w:r w:rsidRPr="00057FB8">
              <w:rPr>
                <w:noProof/>
              </w:rPr>
              <w:t>Directiva 2013/34/UE impune întreprinderilor care fac obiectul raportării privind durabilitatea să își întocmească raportul administratorilor în formatul de raportare electronic prevăzut la articolul 3 din Regulamentul delegat (UE) 2019/815 al Comisiei (Regulamentul delegat privind ESEF). De asemenea, directiva respectivă impune acestor întreprinderi să își marcheze raportarea privind durabilitatea, inclusiv informațiile prevăzute la articolul 8 din Regulamentul (UE) 2020/852, în conformitate cu taxonomia digitală care urmează să fie adoptată de Comisie printr-o modificare a Regulamentului delegat privind ESEF.</w:t>
            </w:r>
          </w:p>
          <w:p w14:paraId="55E75276" w14:textId="77777777" w:rsidR="00BA76ED" w:rsidRPr="00057FB8" w:rsidRDefault="00C8775A" w:rsidP="00C8775A">
            <w:pPr>
              <w:rPr>
                <w:noProof/>
              </w:rPr>
            </w:pPr>
            <w:r w:rsidRPr="00057FB8">
              <w:rPr>
                <w:noProof/>
              </w:rPr>
              <w:t xml:space="preserve">O taxonomie digitală pentru standardele Uniunii de raportare privind durabilitatea va permite marcarea și citirea automată a raportării privind durabilitatea. Până la adoptarea acestei taxonomii digitale, întreprinderile nu sunt obligate să își marcheze declarațiile privind durabilitatea. Având în vedere că declarația privind durabilitatea va deveni prelucrabilă automat numai după ce va fi inclusă într-un document XHTML și va fi marcată cu o taxonomie digitală, până la adoptarea taxonomiei digitale întreprinderile nu sunt obligate nici să întocmească raportul administratorilor în XHTML. </w:t>
            </w:r>
          </w:p>
          <w:p w14:paraId="26534E70" w14:textId="77777777" w:rsidR="00CA2B31" w:rsidRPr="00057FB8" w:rsidRDefault="00CA2B31">
            <w:pPr>
              <w:rPr>
                <w:noProof/>
              </w:rPr>
            </w:pPr>
          </w:p>
          <w:p w14:paraId="64F4E2CC" w14:textId="77777777" w:rsidR="00CA2B31" w:rsidRPr="00057FB8" w:rsidRDefault="00CA2B31">
            <w:pPr>
              <w:rPr>
                <w:noProof/>
              </w:rPr>
            </w:pPr>
            <w:r w:rsidRPr="00057FB8">
              <w:rPr>
                <w:noProof/>
              </w:rPr>
              <w:t>Printre părțile interesate afectate de aceste cerințe se numără întreprinderile care trebuie să pregătească și să publice o declarație privind durabilitatea care să fie marcată digital și furnizată într-un format XHTML, precum și prestatorii de servicii de asigurare care trebuie să verifice dacă declarația privind durabilitatea îndeplinește cerințele necesare.</w:t>
            </w:r>
          </w:p>
          <w:p w14:paraId="21AD8A39" w14:textId="77777777" w:rsidR="00CA2B31" w:rsidRPr="00057FB8" w:rsidRDefault="00CA2B31" w:rsidP="00845B88">
            <w:pPr>
              <w:pBdr>
                <w:top w:val="nil"/>
                <w:left w:val="nil"/>
                <w:bottom w:val="nil"/>
                <w:right w:val="nil"/>
                <w:between w:val="nil"/>
                <w:bar w:val="nil"/>
              </w:pBdr>
              <w:spacing w:before="0" w:after="240"/>
              <w:rPr>
                <w:rFonts w:eastAsia="Arial Unicode MS"/>
                <w:noProof/>
              </w:rPr>
            </w:pPr>
            <w:r w:rsidRPr="00057FB8">
              <w:rPr>
                <w:noProof/>
              </w:rPr>
              <w:t xml:space="preserve">Prezenta propunere nu modifică normele existente privind marcarea digitală sau formatul digital introduse de Directiva referitoare la raportarea privind durabilitatea de către întreprinderi, care vor îmbunătăți raportarea digitală și vor permite folosirea inteligenței artificiale pentru a utiliza informațiile raportate de întreprinderi. </w:t>
            </w:r>
          </w:p>
          <w:p w14:paraId="199C6595" w14:textId="77777777" w:rsidR="00904981" w:rsidRPr="00057FB8" w:rsidRDefault="00904981" w:rsidP="00845B88">
            <w:pPr>
              <w:pBdr>
                <w:top w:val="nil"/>
                <w:left w:val="nil"/>
                <w:bottom w:val="nil"/>
                <w:right w:val="nil"/>
                <w:between w:val="nil"/>
                <w:bar w:val="nil"/>
              </w:pBdr>
              <w:spacing w:before="0" w:after="240"/>
              <w:rPr>
                <w:rFonts w:eastAsia="Arial Unicode MS"/>
                <w:noProof/>
                <w:color w:val="000000" w:themeColor="text1"/>
              </w:rPr>
            </w:pPr>
            <w:r w:rsidRPr="00057FB8">
              <w:rPr>
                <w:noProof/>
              </w:rPr>
              <w:t>În ceea ce privește CSDDD, instrumentele și tehnologiile digitale ar putea sprijini colectarea și evaluarea datelor și ar putea reduce costul aferent acestor operațiuni. Prezenta propunere nu modifică dispozițiile relevante ale CSDDD.</w:t>
            </w:r>
          </w:p>
        </w:tc>
      </w:tr>
    </w:tbl>
    <w:p w14:paraId="167D8CE8" w14:textId="77777777" w:rsidR="00CA2B31" w:rsidRPr="00057FB8" w:rsidRDefault="00CA2B31" w:rsidP="00CA2B31">
      <w:pPr>
        <w:pStyle w:val="ManualHeading2"/>
        <w:rPr>
          <w:noProof/>
        </w:rPr>
      </w:pPr>
      <w:bookmarkStart w:id="90" w:name="_Toc167220303"/>
      <w:bookmarkStart w:id="91" w:name="_Toc177549038"/>
      <w:r w:rsidRPr="00057FB8">
        <w:rPr>
          <w:noProof/>
        </w:rPr>
        <w:t>4.2.</w:t>
      </w:r>
      <w:r w:rsidRPr="00057FB8">
        <w:rPr>
          <w:noProof/>
        </w:rPr>
        <w:tab/>
        <w:t>Date</w:t>
      </w:r>
      <w:bookmarkEnd w:id="90"/>
      <w:bookmarkEnd w:id="91"/>
    </w:p>
    <w:tbl>
      <w:tblPr>
        <w:tblStyle w:val="TableGrid"/>
        <w:tblW w:w="0" w:type="auto"/>
        <w:tblLook w:val="04A0" w:firstRow="1" w:lastRow="0" w:firstColumn="1" w:lastColumn="0" w:noHBand="0" w:noVBand="1"/>
      </w:tblPr>
      <w:tblGrid>
        <w:gridCol w:w="9063"/>
      </w:tblGrid>
      <w:tr w:rsidR="00CA2B31" w:rsidRPr="00057FB8" w14:paraId="564E50A3" w14:textId="77777777">
        <w:tc>
          <w:tcPr>
            <w:tcW w:w="9063" w:type="dxa"/>
          </w:tcPr>
          <w:p w14:paraId="6993631D" w14:textId="77777777" w:rsidR="00CA2B31" w:rsidRPr="00057FB8" w:rsidRDefault="00CA2B31">
            <w:pPr>
              <w:rPr>
                <w:noProof/>
              </w:rPr>
            </w:pPr>
            <w:r w:rsidRPr="00057FB8">
              <w:rPr>
                <w:noProof/>
              </w:rPr>
              <w:t xml:space="preserve">A se vedea secțiunea de mai sus. </w:t>
            </w:r>
          </w:p>
        </w:tc>
      </w:tr>
    </w:tbl>
    <w:p w14:paraId="157855C8" w14:textId="77777777" w:rsidR="00CA2B31" w:rsidRPr="00057FB8" w:rsidRDefault="00CA2B31" w:rsidP="00CA2B31">
      <w:pPr>
        <w:pStyle w:val="ManualHeading2"/>
        <w:rPr>
          <w:noProof/>
        </w:rPr>
      </w:pPr>
      <w:bookmarkStart w:id="92" w:name="_Toc167220305"/>
      <w:bookmarkStart w:id="93" w:name="_Toc177549039"/>
      <w:r w:rsidRPr="00057FB8">
        <w:rPr>
          <w:noProof/>
        </w:rPr>
        <w:t>4.3.</w:t>
      </w:r>
      <w:r w:rsidRPr="00057FB8">
        <w:rPr>
          <w:noProof/>
        </w:rPr>
        <w:tab/>
        <w:t>Soluții digitale</w:t>
      </w:r>
      <w:bookmarkEnd w:id="92"/>
      <w:bookmarkEnd w:id="93"/>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CA2B31" w:rsidRPr="00057FB8" w14:paraId="705B34B9" w14:textId="77777777">
        <w:tc>
          <w:tcPr>
            <w:tcW w:w="9067" w:type="dxa"/>
          </w:tcPr>
          <w:p w14:paraId="447FA7F5" w14:textId="77777777" w:rsidR="00CA2B31" w:rsidRPr="00057FB8" w:rsidRDefault="00CA2B31">
            <w:pPr>
              <w:rPr>
                <w:noProof/>
              </w:rPr>
            </w:pPr>
            <w:r w:rsidRPr="00057FB8">
              <w:rPr>
                <w:noProof/>
              </w:rPr>
              <w:t xml:space="preserve">A se vedea secțiunea de mai sus. </w:t>
            </w:r>
          </w:p>
        </w:tc>
      </w:tr>
    </w:tbl>
    <w:p w14:paraId="76028B6C" w14:textId="77777777" w:rsidR="00CA2B31" w:rsidRPr="00057FB8" w:rsidRDefault="00CA2B31" w:rsidP="00CA2B31">
      <w:pPr>
        <w:pStyle w:val="ManualHeading2"/>
        <w:rPr>
          <w:rStyle w:val="Emphasis"/>
          <w:b w:val="0"/>
          <w:bCs/>
          <w:i w:val="0"/>
          <w:iCs w:val="0"/>
          <w:noProof/>
        </w:rPr>
      </w:pPr>
      <w:bookmarkStart w:id="94" w:name="_Toc167220304"/>
      <w:bookmarkStart w:id="95" w:name="_Toc177549040"/>
      <w:r w:rsidRPr="00057FB8">
        <w:rPr>
          <w:rStyle w:val="Emphasis"/>
          <w:noProof/>
        </w:rPr>
        <w:t>4.4.</w:t>
      </w:r>
      <w:r w:rsidRPr="00057FB8">
        <w:rPr>
          <w:noProof/>
        </w:rPr>
        <w:tab/>
      </w:r>
      <w:r w:rsidRPr="00057FB8">
        <w:rPr>
          <w:rStyle w:val="Emphasis"/>
          <w:noProof/>
        </w:rPr>
        <w:t>Evaluarea interoperabilității</w:t>
      </w:r>
      <w:bookmarkEnd w:id="94"/>
      <w:bookmarkEnd w:id="95"/>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CA2B31" w:rsidRPr="00057FB8" w14:paraId="086F4381" w14:textId="77777777">
        <w:trPr>
          <w:trHeight w:val="300"/>
        </w:trPr>
        <w:tc>
          <w:tcPr>
            <w:tcW w:w="9067" w:type="dxa"/>
          </w:tcPr>
          <w:p w14:paraId="5AABB5EE" w14:textId="77777777" w:rsidR="00CA2B31" w:rsidRPr="00057FB8" w:rsidRDefault="00CA2B31">
            <w:pPr>
              <w:rPr>
                <w:i/>
                <w:iCs/>
                <w:noProof/>
                <w:color w:val="215868" w:themeColor="accent5" w:themeShade="80"/>
              </w:rPr>
            </w:pPr>
            <w:r w:rsidRPr="00057FB8">
              <w:rPr>
                <w:noProof/>
              </w:rPr>
              <w:t>Nu se aplică.</w:t>
            </w:r>
          </w:p>
        </w:tc>
      </w:tr>
    </w:tbl>
    <w:p w14:paraId="2F7D6FC0" w14:textId="77777777" w:rsidR="00CA2B31" w:rsidRPr="00057FB8" w:rsidRDefault="00CA2B31" w:rsidP="00CA2B31">
      <w:pPr>
        <w:pStyle w:val="ManualHeading2"/>
        <w:rPr>
          <w:noProof/>
        </w:rPr>
      </w:pPr>
      <w:bookmarkStart w:id="96" w:name="_Toc167220306"/>
      <w:bookmarkStart w:id="97" w:name="_Toc177549041"/>
      <w:r w:rsidRPr="00057FB8">
        <w:rPr>
          <w:noProof/>
        </w:rPr>
        <w:t>4.5.</w:t>
      </w:r>
      <w:r w:rsidRPr="00057FB8">
        <w:rPr>
          <w:noProof/>
        </w:rPr>
        <w:tab/>
        <w:t>Măsuri de sprijinire a implementării digitale</w:t>
      </w:r>
      <w:bookmarkEnd w:id="96"/>
      <w:bookmarkEnd w:id="97"/>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CA2B31" w:rsidRPr="00057FB8" w14:paraId="537B6991" w14:textId="77777777">
        <w:tc>
          <w:tcPr>
            <w:tcW w:w="9067" w:type="dxa"/>
          </w:tcPr>
          <w:p w14:paraId="7A34E1F4" w14:textId="77777777" w:rsidR="00CA2B31" w:rsidRPr="00057FB8" w:rsidRDefault="00CA2B31">
            <w:pPr>
              <w:rPr>
                <w:noProof/>
              </w:rPr>
            </w:pPr>
            <w:r w:rsidRPr="00057FB8">
              <w:rPr>
                <w:noProof/>
              </w:rPr>
              <w:t xml:space="preserve">Pentru a facilita punerea în aplicare fără probleme a cerințelor privind relevanța digitală identificate în secțiunea 4.1., Comisia este implicată într-o serie de inițiative. </w:t>
            </w:r>
          </w:p>
          <w:p w14:paraId="59CD393D" w14:textId="77777777" w:rsidR="00CA2B31" w:rsidRPr="00057FB8" w:rsidRDefault="00CA2B31">
            <w:pPr>
              <w:rPr>
                <w:noProof/>
              </w:rPr>
            </w:pPr>
            <w:r w:rsidRPr="00057FB8">
              <w:rPr>
                <w:noProof/>
              </w:rPr>
              <w:t xml:space="preserve">În primul rând, va fi necesară o taxonomie digitală pentru standardele Uniunii de raportare privind durabilitatea pentru a permite marcarea informațiilor raportate în conformitate cu standardele respective. Comisia va adopta o taxonomie digitală pentru marcarea informațiilor privind durabilitatea prin intermediul unui act delegat, după primirea avizului tehnic din partea ESMA. </w:t>
            </w:r>
          </w:p>
          <w:p w14:paraId="3119ACB5" w14:textId="77777777" w:rsidR="00CA2B31" w:rsidRPr="00057FB8" w:rsidRDefault="00CA2B31">
            <w:pPr>
              <w:rPr>
                <w:noProof/>
              </w:rPr>
            </w:pPr>
            <w:r w:rsidRPr="00057FB8">
              <w:rPr>
                <w:noProof/>
              </w:rPr>
              <w:t>În al doilea rând, în cadrul rundei din 2025 aferente instrumentului de asistență tehnică, intenția Comisiei este de a lansa un proiect multinațional emblematic intitulat „Îmbunătățirea raportării privind durabilitatea pentru întreprinderi”. Această inițiativă urmărește să consolideze capacitatea statelor membre de a sprijini întreprinderile, în special întreprinderile mici și mijlocii, să pună în aplicare cerințele de raportare din CSRD și pe cele privind taxonomia UE. Sprijinul acordat în cadrul acestei inițiative va ține seama de evoluția cerințelor de raportare și va fi, de asemenea, relevant pentru IMM-urile necotate la bursă care nu fac obiectul raportării obligatorii, dar care se confruntă cu cereri tot mai mari de informații privind durabilitatea din partea partenerilor lor financiari și din lanțul valoric.</w:t>
            </w:r>
          </w:p>
          <w:p w14:paraId="41036389" w14:textId="77777777" w:rsidR="00CA2B31" w:rsidRPr="00057FB8" w:rsidRDefault="00CA2B31">
            <w:pPr>
              <w:rPr>
                <w:noProof/>
              </w:rPr>
            </w:pPr>
            <w:r w:rsidRPr="00057FB8">
              <w:rPr>
                <w:noProof/>
              </w:rPr>
              <w:t xml:space="preserve">În al treilea rând, Grupul Consultativ European pentru Raportare Financiară (EFRAG) a lansat un forum pentru IMM-uri, în cadrul căruia reunește părțile interesate relevante din comunitatea IMM-urilor pentru a discuta punerea în aplicare a cerințelor de raportare privind durabilitatea și modul în care soluțiile și instrumentele digitale pot fi utilizate pentru a facilita raportarea privind durabilitatea pentru IMM-uri. </w:t>
            </w:r>
          </w:p>
          <w:p w14:paraId="3A0E590F" w14:textId="77777777" w:rsidR="004F2909" w:rsidRPr="00057FB8" w:rsidRDefault="004F2909">
            <w:pPr>
              <w:rPr>
                <w:noProof/>
              </w:rPr>
            </w:pPr>
            <w:r w:rsidRPr="00057FB8">
              <w:rPr>
                <w:noProof/>
              </w:rPr>
              <w:t>În ceea ce privește CSDDD, pentru a ajuta întreprinderile să își îndeplinească obligațiile de diligență de-a lungul lanțului lor valoric, directiva încurajează utilizarea instrumentelor și a tehnologiilor digitale și solicită Comisiei să emită orientări cu informații utile și trimiteri la resurse adecvate. Prezenta propunere nu modifică dispozițiile relevante.</w:t>
            </w:r>
          </w:p>
        </w:tc>
      </w:tr>
      <w:bookmarkEnd w:id="87"/>
    </w:tbl>
    <w:p w14:paraId="408DC6B4" w14:textId="77777777" w:rsidR="00CA2B31" w:rsidRPr="00057FB8" w:rsidRDefault="00CA2B31" w:rsidP="00D13127">
      <w:pPr>
        <w:rPr>
          <w:noProof/>
        </w:rPr>
      </w:pPr>
    </w:p>
    <w:sectPr w:rsidR="00CA2B31" w:rsidRPr="00057FB8" w:rsidSect="0033790A">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02ED0" w14:textId="77777777" w:rsidR="006134B9" w:rsidRDefault="006134B9" w:rsidP="006C7F87">
      <w:pPr>
        <w:spacing w:before="0" w:after="0"/>
      </w:pPr>
      <w:r>
        <w:separator/>
      </w:r>
    </w:p>
  </w:endnote>
  <w:endnote w:type="continuationSeparator" w:id="0">
    <w:p w14:paraId="781CF907" w14:textId="77777777" w:rsidR="006134B9" w:rsidRDefault="006134B9" w:rsidP="006C7F87">
      <w:pPr>
        <w:spacing w:before="0" w:after="0"/>
      </w:pPr>
      <w:r>
        <w:continuationSeparator/>
      </w:r>
    </w:p>
  </w:endnote>
  <w:endnote w:type="continuationNotice" w:id="1">
    <w:p w14:paraId="7C2DAA53" w14:textId="77777777" w:rsidR="006134B9" w:rsidRDefault="006134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DD74" w14:textId="194AE761" w:rsidR="0033790A" w:rsidRPr="0033790A" w:rsidRDefault="0033790A" w:rsidP="0033790A">
    <w:pPr>
      <w:pStyle w:val="Footer"/>
      <w:rPr>
        <w:rFonts w:ascii="Arial" w:hAnsi="Arial" w:cs="Arial"/>
        <w:b/>
        <w:sz w:val="48"/>
      </w:rPr>
    </w:pPr>
    <w:r w:rsidRPr="0033790A">
      <w:rPr>
        <w:rFonts w:ascii="Arial" w:hAnsi="Arial" w:cs="Arial"/>
        <w:b/>
        <w:sz w:val="48"/>
      </w:rPr>
      <w:t>RO</w:t>
    </w:r>
    <w:r w:rsidRPr="0033790A">
      <w:rPr>
        <w:rFonts w:ascii="Arial" w:hAnsi="Arial" w:cs="Arial"/>
        <w:b/>
        <w:sz w:val="48"/>
      </w:rPr>
      <w:tab/>
    </w:r>
    <w:r w:rsidRPr="0033790A">
      <w:rPr>
        <w:rFonts w:ascii="Arial" w:hAnsi="Arial" w:cs="Arial"/>
        <w:b/>
        <w:sz w:val="48"/>
      </w:rPr>
      <w:tab/>
    </w:r>
    <w:r w:rsidRPr="0033790A">
      <w:tab/>
    </w:r>
    <w:r w:rsidRPr="0033790A">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8C5A" w14:textId="70F9A006" w:rsidR="0033790A" w:rsidRPr="0033790A" w:rsidRDefault="0033790A" w:rsidP="0033790A">
    <w:pPr>
      <w:pStyle w:val="Footer"/>
      <w:rPr>
        <w:rFonts w:ascii="Arial" w:hAnsi="Arial" w:cs="Arial"/>
        <w:b/>
        <w:sz w:val="48"/>
      </w:rPr>
    </w:pPr>
    <w:r w:rsidRPr="0033790A">
      <w:rPr>
        <w:rFonts w:ascii="Arial" w:hAnsi="Arial" w:cs="Arial"/>
        <w:b/>
        <w:sz w:val="48"/>
      </w:rPr>
      <w:t>RO</w:t>
    </w:r>
    <w:r w:rsidRPr="0033790A">
      <w:rPr>
        <w:rFonts w:ascii="Arial" w:hAnsi="Arial" w:cs="Arial"/>
        <w:b/>
        <w:sz w:val="48"/>
      </w:rPr>
      <w:tab/>
    </w:r>
    <w:r w:rsidRPr="0033790A">
      <w:rPr>
        <w:rFonts w:ascii="Arial" w:hAnsi="Arial" w:cs="Arial"/>
        <w:b/>
        <w:sz w:val="48"/>
      </w:rPr>
      <w:tab/>
    </w:r>
    <w:r w:rsidRPr="0033790A">
      <w:tab/>
    </w:r>
    <w:r w:rsidRPr="0033790A">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ADAA" w14:textId="77777777" w:rsidR="0033790A" w:rsidRDefault="00337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09BE" w14:textId="775D7C15" w:rsidR="0033790A" w:rsidRPr="0033790A" w:rsidRDefault="0033790A" w:rsidP="0033790A">
    <w:pPr>
      <w:pStyle w:val="Footer"/>
      <w:rPr>
        <w:rFonts w:ascii="Arial" w:hAnsi="Arial" w:cs="Arial"/>
        <w:b/>
        <w:sz w:val="48"/>
      </w:rPr>
    </w:pPr>
    <w:r w:rsidRPr="0033790A">
      <w:rPr>
        <w:rFonts w:ascii="Arial" w:hAnsi="Arial" w:cs="Arial"/>
        <w:b/>
        <w:sz w:val="48"/>
      </w:rPr>
      <w:t>RO</w:t>
    </w:r>
    <w:r w:rsidRPr="0033790A">
      <w:rPr>
        <w:rFonts w:ascii="Arial" w:hAnsi="Arial" w:cs="Arial"/>
        <w:b/>
        <w:sz w:val="48"/>
      </w:rPr>
      <w:tab/>
    </w:r>
    <w:r>
      <w:fldChar w:fldCharType="begin"/>
    </w:r>
    <w:r>
      <w:instrText xml:space="preserve"> PAGE  \* MERGEFORMAT </w:instrText>
    </w:r>
    <w:r>
      <w:fldChar w:fldCharType="separate"/>
    </w:r>
    <w:r w:rsidR="005E6057">
      <w:rPr>
        <w:noProof/>
      </w:rPr>
      <w:t>5</w:t>
    </w:r>
    <w:r>
      <w:fldChar w:fldCharType="end"/>
    </w:r>
    <w:r>
      <w:tab/>
    </w:r>
    <w:r w:rsidRPr="0033790A">
      <w:tab/>
    </w:r>
    <w:r w:rsidRPr="0033790A">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0E3A" w14:textId="77777777" w:rsidR="0033790A" w:rsidRDefault="0033790A" w:rsidP="0033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551B" w14:textId="77777777" w:rsidR="006134B9" w:rsidRDefault="006134B9" w:rsidP="006C7F87">
      <w:pPr>
        <w:spacing w:before="0" w:after="0"/>
      </w:pPr>
      <w:r>
        <w:separator/>
      </w:r>
    </w:p>
  </w:footnote>
  <w:footnote w:type="continuationSeparator" w:id="0">
    <w:p w14:paraId="70BBAB5B" w14:textId="77777777" w:rsidR="006134B9" w:rsidRDefault="006134B9" w:rsidP="006C7F87">
      <w:pPr>
        <w:spacing w:before="0" w:after="0"/>
      </w:pPr>
      <w:r>
        <w:continuationSeparator/>
      </w:r>
    </w:p>
  </w:footnote>
  <w:footnote w:type="continuationNotice" w:id="1">
    <w:p w14:paraId="0A583B14" w14:textId="77777777" w:rsidR="006134B9" w:rsidRDefault="006134B9">
      <w:pPr>
        <w:spacing w:before="0" w:after="0"/>
      </w:pPr>
    </w:p>
  </w:footnote>
  <w:footnote w:id="2">
    <w:p w14:paraId="65BF8F8C" w14:textId="4B473DB0" w:rsidR="004875CD" w:rsidRPr="001C5090" w:rsidRDefault="004875CD" w:rsidP="004875CD">
      <w:pPr>
        <w:pStyle w:val="FootnoteText"/>
      </w:pPr>
      <w:r>
        <w:rPr>
          <w:rStyle w:val="FootnoteReference"/>
        </w:rPr>
        <w:footnoteRef/>
      </w:r>
      <w:r>
        <w:tab/>
        <w:t xml:space="preserve">„Viitorul competitivității europene”, septembrie 2024. </w:t>
      </w:r>
    </w:p>
  </w:footnote>
  <w:footnote w:id="3">
    <w:p w14:paraId="00F2CD19" w14:textId="415E1FA9" w:rsidR="004875CD" w:rsidRPr="00A92F39" w:rsidRDefault="004875CD" w:rsidP="004875CD">
      <w:pPr>
        <w:pStyle w:val="FootnoteText"/>
      </w:pPr>
      <w:r>
        <w:rPr>
          <w:rStyle w:val="FootnoteReference"/>
        </w:rPr>
        <w:footnoteRef/>
      </w:r>
      <w:r>
        <w:tab/>
        <w:t xml:space="preserve">Declarația de la Budapesta privind noul pact pentru competitivitatea europeană, 8 noiembrie 2024. </w:t>
      </w:r>
    </w:p>
  </w:footnote>
  <w:footnote w:id="4">
    <w:p w14:paraId="7DB2E662" w14:textId="1E82A845" w:rsidR="004875CD" w:rsidRPr="00A92F39" w:rsidRDefault="004875CD" w:rsidP="004875CD">
      <w:pPr>
        <w:pStyle w:val="FootnoteText"/>
        <w:ind w:left="0" w:firstLine="0"/>
      </w:pPr>
      <w:r>
        <w:rPr>
          <w:rStyle w:val="FootnoteReference"/>
        </w:rPr>
        <w:footnoteRef/>
      </w:r>
      <w:r>
        <w:tab/>
        <w:t>Comunicarea Comisiei către Parlamentul European, Consiliul European, Consiliu, Comitetul Economic și Social European și Comitetul Regiunilor, COM(2025) 30 final: O Busolă pentru competitivitatea UE.</w:t>
      </w:r>
      <w:r w:rsidR="00741D62">
        <w:t xml:space="preserve"> </w:t>
      </w:r>
    </w:p>
  </w:footnote>
  <w:footnote w:id="5">
    <w:p w14:paraId="533D478B" w14:textId="3E79E686" w:rsidR="004875CD" w:rsidRPr="004138C0" w:rsidRDefault="004875CD" w:rsidP="004875CD">
      <w:pPr>
        <w:pStyle w:val="FootnoteText"/>
        <w:ind w:left="0" w:firstLine="0"/>
      </w:pPr>
      <w:r>
        <w:rPr>
          <w:rStyle w:val="FootnoteReference"/>
        </w:rPr>
        <w:footnoteRef/>
      </w:r>
      <w:r>
        <w:tab/>
        <w:t>Comunicarea Comisiei către Parlamentul European, Consiliu, Comitetul Economic și Social European și Comitetul Regiunilor, COM(2025) 47 final: O Europă mai simplă și mai rapidă: comunicare privind punerea în aplicare și simplificarea.</w:t>
      </w:r>
    </w:p>
  </w:footnote>
  <w:footnote w:id="6">
    <w:p w14:paraId="70EE944E" w14:textId="7D932725" w:rsidR="00A53DB0" w:rsidRPr="00341E86" w:rsidRDefault="00A53DB0" w:rsidP="00A53DB0">
      <w:pPr>
        <w:pStyle w:val="FootnoteText"/>
        <w:ind w:left="0" w:firstLine="0"/>
      </w:pPr>
      <w:r>
        <w:rPr>
          <w:rStyle w:val="FootnoteReference"/>
        </w:rPr>
        <w:footnoteRef/>
      </w:r>
      <w:r>
        <w:tab/>
        <w:t>Directiva (UE) 2022/2464 a Parlamentului European și a Consiliului din 14 decembrie 2022 (Directiva referitoare la raportarea privind durabilitatea de către întreprinderi).</w:t>
      </w:r>
    </w:p>
  </w:footnote>
  <w:footnote w:id="7">
    <w:p w14:paraId="0BBC7B5C" w14:textId="01B58C20" w:rsidR="00A53DB0" w:rsidRPr="00841383" w:rsidRDefault="00A53DB0" w:rsidP="00A53DB0">
      <w:pPr>
        <w:pStyle w:val="FootnoteText"/>
        <w:ind w:left="0" w:firstLine="0"/>
      </w:pPr>
      <w:r>
        <w:rPr>
          <w:rStyle w:val="FootnoteReference"/>
        </w:rPr>
        <w:footnoteRef/>
      </w:r>
      <w:r>
        <w:tab/>
        <w:t>Directiva 2013/34/UE a Parlamentului European și a Consiliului din 26 iunie 2013 (Directiva contabilă); Directiva 2004/109/CE a Parlamentului European și a Consiliului din 15 decembrie 2004 (Directiva privind transparența); Directiva 2006/43/CE a Parlamentului European și a Consiliului din 17 mai 2006 (Directiva privind auditul); Regulamentul (UE) nr. 537/2014 al Parlamentului European și al Consiliului din 16</w:t>
      </w:r>
      <w:r w:rsidR="00741D62">
        <w:t> </w:t>
      </w:r>
      <w:r>
        <w:t>aprilie 2014 (Regulamentul privind auditul).</w:t>
      </w:r>
    </w:p>
  </w:footnote>
  <w:footnote w:id="8">
    <w:p w14:paraId="58D5382F" w14:textId="78F26D33" w:rsidR="00A53DB0" w:rsidRPr="001C5090" w:rsidRDefault="00A53DB0" w:rsidP="00A53DB0">
      <w:pPr>
        <w:pStyle w:val="FootnoteText"/>
        <w:ind w:left="0" w:firstLine="0"/>
      </w:pPr>
      <w:r>
        <w:rPr>
          <w:rStyle w:val="FootnoteReference"/>
        </w:rPr>
        <w:footnoteRef/>
      </w:r>
      <w:r>
        <w:tab/>
        <w:t>Comunicarea Comisiei</w:t>
      </w:r>
      <w:r w:rsidR="003D6D21">
        <w:t>:</w:t>
      </w:r>
      <w:r>
        <w:t xml:space="preserve"> Pactul verde european, COM(2019) 640 final; Comunicarea Comisiei</w:t>
      </w:r>
      <w:r w:rsidR="003D6D21">
        <w:t xml:space="preserve">: </w:t>
      </w:r>
      <w:r>
        <w:t>Plan de acțiune: finanțarea creșterii durabile, COM(2018) 097 final.</w:t>
      </w:r>
    </w:p>
  </w:footnote>
  <w:footnote w:id="9">
    <w:p w14:paraId="06D95305" w14:textId="5E850D6E" w:rsidR="00A53DB0" w:rsidRPr="006838CC" w:rsidRDefault="00A53DB0" w:rsidP="008A6B8D">
      <w:pPr>
        <w:pStyle w:val="FootnoteText"/>
        <w:ind w:left="0" w:firstLine="0"/>
      </w:pPr>
      <w:r>
        <w:rPr>
          <w:rStyle w:val="FootnoteReference"/>
        </w:rPr>
        <w:footnoteRef/>
      </w:r>
      <w:r>
        <w:tab/>
        <w:t>Precum și entitățile de interes public care sunt societăți-mamă ale unui grup mare cu peste 500 de angajați, pentru raportarea consolidată privind durabilitatea. „Entitățile de interes public” sunt definite la articolul 2 punctul 1 din Directiva contabilă drept întreprinderile care: (a) se află sub incidența legislației unui stat membru și ale căror valori mobiliare sunt admise la tranzacționare pe o piață reglementată din UE; (b) sunt instituții de credit; (c) sunt întreprinderi de asigurare sau (d) sunt desemnate de statele membre drept entități de interes public. „Întreprinderile mari” sunt definite la articolul 3 alineatul (4) din Directiva contabilă drept întreprinderile care, la data bilanțului, depășesc limitele a cel puțin două dintre următoarele trei criterii: (a) totalul bilanțului: 25 000 000 EUR; (b) cifra de afaceri netă: 50 000 000 EUR; (c) numărul mediu de salariați în cursul exercițiului financiar: 250.</w:t>
      </w:r>
    </w:p>
  </w:footnote>
  <w:footnote w:id="10">
    <w:p w14:paraId="5A52A887" w14:textId="527912BE" w:rsidR="0079497B" w:rsidRPr="0079497B" w:rsidRDefault="0079497B">
      <w:pPr>
        <w:pStyle w:val="FootnoteText"/>
      </w:pPr>
      <w:r>
        <w:rPr>
          <w:rStyle w:val="FootnoteReference"/>
        </w:rPr>
        <w:footnoteRef/>
      </w:r>
      <w:r>
        <w:tab/>
        <w:t>Precum și celelalte societăți-mamă ale grupurilor mari, pentru raportarea consolidată privind durabilitatea.</w:t>
      </w:r>
    </w:p>
  </w:footnote>
  <w:footnote w:id="11">
    <w:p w14:paraId="30182859" w14:textId="3092AF78" w:rsidR="00691CEA" w:rsidRPr="00691CEA" w:rsidRDefault="00691CEA" w:rsidP="00691CEA">
      <w:pPr>
        <w:pStyle w:val="FootnoteText"/>
        <w:ind w:left="0" w:firstLine="0"/>
      </w:pPr>
      <w:r>
        <w:rPr>
          <w:rStyle w:val="FootnoteReference"/>
        </w:rPr>
        <w:footnoteRef/>
      </w:r>
      <w:r>
        <w:tab/>
        <w:t>Instituțiile de credit mici și cu un grad redus de complexitate și întreprinderile de asigurare și de reasigurare captive fac, de asemenea, parte din al treilea val, însă acestea pot alege să nu participe timp de încă doi ani numai dacă sunt IMM-uri cotate la bursă.</w:t>
      </w:r>
    </w:p>
  </w:footnote>
  <w:footnote w:id="12">
    <w:p w14:paraId="29D0A7FD" w14:textId="30729003" w:rsidR="001E0B9F" w:rsidRPr="001E0B9F" w:rsidRDefault="001E0B9F" w:rsidP="001E0B9F">
      <w:pPr>
        <w:pStyle w:val="FootnoteText"/>
        <w:ind w:left="0" w:firstLine="0"/>
      </w:pPr>
      <w:r>
        <w:rPr>
          <w:rStyle w:val="FootnoteReference"/>
        </w:rPr>
        <w:footnoteRef/>
      </w:r>
      <w:r>
        <w:tab/>
        <w:t>În conformitate cu articolul 40a din Directiva contabilă, astfel cum a fost modificată prin CSRD, o întreprindere care nu este stabilită în UE trebuie să raporteze informații privind durabilitatea la nivel de grup dacă a) generează o cifră de afaceri de peste 150 de milioane EUR în Uniune și b) fie are o filială în UE care face obiectul cerințelor de raportare privind durabilitatea introduse de CSRD, fie are o sucursală în UE care generează o cifră de afaceri de peste 40 de milioane EUR. În acest caz, obligația legală de a publica raportul revine filialei sau sucursalei din UE.</w:t>
      </w:r>
    </w:p>
  </w:footnote>
  <w:footnote w:id="13">
    <w:p w14:paraId="44C95D97" w14:textId="5A8AA16B" w:rsidR="00A53DB0" w:rsidRPr="005B5F6E" w:rsidRDefault="00A53DB0" w:rsidP="00A53DB0">
      <w:pPr>
        <w:pStyle w:val="FootnoteText"/>
        <w:ind w:left="0" w:firstLine="0"/>
      </w:pPr>
      <w:r>
        <w:rPr>
          <w:rStyle w:val="FootnoteReference"/>
        </w:rPr>
        <w:footnoteRef/>
      </w:r>
      <w:r>
        <w:tab/>
        <w:t>Regulamentul delegat (UE) 2023/2772 al Comisiei din 31 iulie 2023 de completare a Directivei 2013/34/UE a Parlamentului European și a Consiliului în ceea ce privește standardele de raportare privind durabilitatea.</w:t>
      </w:r>
    </w:p>
  </w:footnote>
  <w:footnote w:id="14">
    <w:p w14:paraId="7C184B09" w14:textId="4CCADC15" w:rsidR="00A53DB0" w:rsidRPr="00146875" w:rsidRDefault="00A53DB0" w:rsidP="00A53DB0">
      <w:pPr>
        <w:pStyle w:val="FootnoteText"/>
        <w:ind w:left="0" w:firstLine="0"/>
      </w:pPr>
      <w:r>
        <w:rPr>
          <w:rStyle w:val="FootnoteReference"/>
        </w:rPr>
        <w:footnoteRef/>
      </w:r>
      <w:r>
        <w:tab/>
        <w:t>EFRAG se numea înainte Grupul Consultativ European pentru Raportare Financiară, dar denumirea sa oficială este în prezent doar EFRAG. Acesta este un organism privat independent, în cadrul căruia sunt reprezentate mai multe părți interesate și care este finanțat în principal de UE.</w:t>
      </w:r>
    </w:p>
  </w:footnote>
  <w:footnote w:id="15">
    <w:p w14:paraId="4B0388A9" w14:textId="03D72822" w:rsidR="00A53DB0" w:rsidRPr="008233EB" w:rsidRDefault="00A53DB0" w:rsidP="00DF33E8">
      <w:pPr>
        <w:pStyle w:val="FootnoteText"/>
        <w:ind w:left="0" w:firstLine="0"/>
      </w:pPr>
      <w:r>
        <w:rPr>
          <w:rStyle w:val="FootnoteReference"/>
        </w:rPr>
        <w:footnoteRef/>
      </w:r>
      <w:r>
        <w:tab/>
        <w:t>Volumul de muncă pentru o misiune de asigurare limitată este semnificativ mai mic decât în cazul unei misiuni de asigurare rezonabilă. Concluzia unei misiuni de asigurare limitată este furnizată, de obicei, într-o formă negativă de exprimare, conținând informația că prestatorul de servicii de asigurare nu a identificat nicio problemă care să îl conducă la concluzia că obiectul a fost prezentat eronat în mod semnificativ. Concluzia unei misiuni de asigurare rezonabilă este furnizată, de obicei, într-o formă pozitivă de exprimare și rezultă în furnizarea unei opinii cu privire la măsurarea obiectului pe baza unor criterii definite în prealabil.</w:t>
      </w:r>
    </w:p>
  </w:footnote>
  <w:footnote w:id="16">
    <w:p w14:paraId="619EA6EA" w14:textId="5D916197" w:rsidR="00C37F8F" w:rsidRPr="001E198A" w:rsidRDefault="00C37F8F" w:rsidP="00C37F8F">
      <w:pPr>
        <w:pStyle w:val="FootnoteText"/>
        <w:ind w:left="0" w:firstLine="0"/>
      </w:pPr>
      <w:r>
        <w:rPr>
          <w:rStyle w:val="FootnoteReference"/>
        </w:rPr>
        <w:footnoteRef/>
      </w:r>
      <w:r>
        <w:tab/>
        <w:t>În plus și din motive de coerență, la articolul 40a din Directiva contabilă, pragul cifrei de afaceri nete pentru ca o întreprindere care nu este stabilită în UE să facă obiectul cerințelor de raportare la nivel de grup ar fi majorat de la 150 de milioane EUR generate în Uniune la 450 de milioane EUR. De asemenea, din motive de coerență, pragul pentru sucursala din UE prevăzut la articolul 40a este majorat de la 40 de milioane EUR la 50</w:t>
      </w:r>
      <w:r w:rsidR="00741D62">
        <w:t> </w:t>
      </w:r>
      <w:r>
        <w:t>de milioane EUR, iar pragul pentru filiala din UE este limitat la întreprinderile mari, astfel cum sunt definite în Directiva contabilă. Principalele praguri prevăzute în CSDDD sunt 1 000 de angajați și o cifră de afaceri de 450 de milioane EUR.</w:t>
      </w:r>
    </w:p>
  </w:footnote>
  <w:footnote w:id="17">
    <w:p w14:paraId="1E7651F3" w14:textId="726C8BE8" w:rsidR="00A957BF" w:rsidRPr="00BB1ACA" w:rsidRDefault="00A957BF" w:rsidP="00DD2BEC">
      <w:pPr>
        <w:pStyle w:val="FootnoteText"/>
        <w:ind w:left="0" w:firstLine="0"/>
      </w:pPr>
      <w:r>
        <w:rPr>
          <w:rStyle w:val="FootnoteReference"/>
        </w:rPr>
        <w:footnoteRef/>
      </w:r>
      <w:r>
        <w:tab/>
        <w:t>Precum și întreprinderile care nu sunt entități de interes public și care sunt societăți-mamă ale unor grupuri mari cu peste 500 de angajați și întreprinderile care sunt societăți-mamă ale unor grupuri mari cu mai puțin de 500 de angajați.</w:t>
      </w:r>
    </w:p>
  </w:footnote>
  <w:footnote w:id="18">
    <w:p w14:paraId="3C32A32E" w14:textId="20ED8C6B" w:rsidR="001275AC" w:rsidRPr="007927A9" w:rsidRDefault="001275AC" w:rsidP="00634F0B">
      <w:pPr>
        <w:pStyle w:val="FootnoteText"/>
        <w:ind w:left="0" w:firstLine="0"/>
      </w:pPr>
      <w:r>
        <w:rPr>
          <w:rStyle w:val="FootnoteReference"/>
        </w:rPr>
        <w:footnoteRef/>
      </w:r>
      <w:r>
        <w:tab/>
      </w:r>
      <w:r>
        <w:rPr>
          <w:rStyle w:val="normaltextrun"/>
          <w:color w:val="000000"/>
          <w:shd w:val="clear" w:color="auto" w:fill="FFFFFF"/>
        </w:rPr>
        <w:t>În perioada 17 octombrie-1 decembrie 2023, Comisia a colectat feedback de la 193 de părți interesate cu privire la posibile măsuri de raționalizare a cerințelor de raportare. Principalele contribuții au provenit de la asociațiile de întreprinderi (84) și întreprinderi (35), urmate de autoritățile publice (23) și de organizațiile neguvernamentale (18). În ceea ce privește acoperirea geografică, părțile interesate au provenit în principal din Germania (53), Belgia (47), Franța (7), Lituania (8), Țările de Jos (6), Italia (5) și Austria (4). Feedbackul a inclus, de asemenea, solicitări privind utilizarea digitalizării și fluidizarea fluxurilor de date, reutilizarea datelor și a standardelor, punerea la dispoziție a unor orientări clare în timp util și eliminarea suprapunerilor și a inconsecvențelor din legislație.</w:t>
      </w:r>
      <w:r w:rsidR="00741D62">
        <w:rPr>
          <w:rStyle w:val="normaltextrun"/>
          <w:color w:val="000000"/>
          <w:shd w:val="clear" w:color="auto" w:fill="FFFFFF"/>
        </w:rPr>
        <w:t xml:space="preserve"> </w:t>
      </w:r>
      <w:hyperlink r:id="rId1" w:tgtFrame="_blank" w:history="1">
        <w:r>
          <w:rPr>
            <w:rStyle w:val="normaltextrun"/>
            <w:color w:val="467886"/>
            <w:u w:val="single"/>
            <w:shd w:val="clear" w:color="auto" w:fill="FFFFFF"/>
          </w:rPr>
          <w:t>https://ec.europa.eu/info/law/better-regulation/have-your-say/initiatives/13990-Sarcina-administrativa-rationalizarea-cerintelor-de-raportare_ro</w:t>
        </w:r>
      </w:hyperlink>
      <w:r>
        <w:t>.</w:t>
      </w:r>
    </w:p>
  </w:footnote>
  <w:footnote w:id="19">
    <w:p w14:paraId="7DAAF59F" w14:textId="77777777" w:rsidR="006C7F87" w:rsidRPr="00FA2113" w:rsidRDefault="006C7F87" w:rsidP="0094068A">
      <w:pPr>
        <w:pStyle w:val="FootnoteText"/>
      </w:pPr>
      <w:r>
        <w:rPr>
          <w:rStyle w:val="FootnoteReference"/>
        </w:rPr>
        <w:footnoteRef/>
      </w:r>
      <w:r>
        <w:tab/>
        <w:t>JO C […], […], p. […].</w:t>
      </w:r>
    </w:p>
  </w:footnote>
  <w:footnote w:id="20">
    <w:p w14:paraId="229DD3C4" w14:textId="77777777" w:rsidR="00F06FCD" w:rsidRPr="00A128B6" w:rsidRDefault="00F06FCD">
      <w:pPr>
        <w:pStyle w:val="FootnoteText"/>
      </w:pPr>
      <w:r>
        <w:rPr>
          <w:rStyle w:val="FootnoteReference"/>
        </w:rPr>
        <w:footnoteRef/>
      </w:r>
      <w:r>
        <w:tab/>
        <w:t xml:space="preserve">Comunicarea Comisiei către Parlamentul European, Consiliu, Comitetul Economic și Social European și Comitetul Regiunilor din 11 februarie 2025, </w:t>
      </w:r>
      <w:r w:rsidRPr="000406B2">
        <w:rPr>
          <w:iCs/>
        </w:rPr>
        <w:t>O Europă mai simplă și mai rapidă: comunicare privind punerea în aplicare și simplificarea,</w:t>
      </w:r>
      <w:r>
        <w:t xml:space="preserve"> COM(2025) 47 final.</w:t>
      </w:r>
    </w:p>
  </w:footnote>
  <w:footnote w:id="21">
    <w:p w14:paraId="1BD1DB8D" w14:textId="77777777" w:rsidR="0005409B" w:rsidRPr="0080569C" w:rsidRDefault="0005409B" w:rsidP="0080569C">
      <w:pPr>
        <w:pStyle w:val="FootnoteText"/>
      </w:pPr>
      <w:r>
        <w:rPr>
          <w:rStyle w:val="FootnoteReference"/>
        </w:rPr>
        <w:footnoteRef/>
      </w:r>
      <w:r>
        <w:tab/>
        <w:t>Directiva (UE) 2022/2464 a Parlamentului European și a Consiliului din 14 decembrie 2022 de modificare a Regulamentului (UE) nr. 537/2014, a Directivei 2004/109/CE, a Directivei 2006/43/CE și a Directivei 2013/34/UE în ceea ce privește raportarea privind durabilitatea de către întreprinderi (JO L 322, 16.12.2022, p. 15, ELI: </w:t>
      </w:r>
      <w:hyperlink r:id="rId2" w:tooltip="Oferă acces la acest document prin identificatorul său uniform de resurse ELI." w:history="1">
        <w:r>
          <w:rPr>
            <w:color w:val="0000FF"/>
            <w:u w:val="single"/>
          </w:rPr>
          <w:t>http://data.europa.eu/eli/dir/2022/2464/oj</w:t>
        </w:r>
      </w:hyperlink>
      <w:r>
        <w:t>).</w:t>
      </w:r>
    </w:p>
  </w:footnote>
  <w:footnote w:id="22">
    <w:p w14:paraId="5CE05F6D" w14:textId="77777777" w:rsidR="005C7196" w:rsidRPr="005C7196" w:rsidRDefault="005C7196" w:rsidP="005C7196">
      <w:pPr>
        <w:pStyle w:val="FootnoteText"/>
      </w:pPr>
      <w:r>
        <w:rPr>
          <w:rStyle w:val="FootnoteReference"/>
        </w:rPr>
        <w:footnoteRef/>
      </w:r>
      <w:r>
        <w:tab/>
        <w:t>Directiva (UE) 2024/1760 a Parlamentului European și a Consiliului din 13 iunie 2024 privind diligența necesară în materie de durabilitate a întreprinderilor și de modificare a Directivei (UE) 2019/1937 și a Regulamentului (UE) 2023/2859 (JO L, 2024/1760, 5.7.2024, ELI: http://data.europa.eu/eli/dir/2024/1760/oj).</w:t>
      </w:r>
    </w:p>
  </w:footnote>
  <w:footnote w:id="23">
    <w:p w14:paraId="26B9C313" w14:textId="77777777" w:rsidR="00E6553B" w:rsidRPr="00E11373" w:rsidRDefault="00E6553B" w:rsidP="00E6553B">
      <w:pPr>
        <w:pStyle w:val="FootnoteText"/>
      </w:pPr>
      <w:r>
        <w:rPr>
          <w:rStyle w:val="FootnoteReference"/>
        </w:rPr>
        <w:footnoteRef/>
      </w:r>
      <w:r>
        <w:tab/>
      </w:r>
      <w:r w:rsidRPr="00E11373">
        <w:t xml:space="preserve">Comunicarea Comisiei către Parlamentul European, Consiliul European, Consiliu, Comitetul Economic și Social European și Comitetul Regiunilor din 11 decembrie 2019, </w:t>
      </w:r>
      <w:r w:rsidRPr="00E11373">
        <w:rPr>
          <w:iCs/>
        </w:rPr>
        <w:t>Pactul verde european</w:t>
      </w:r>
      <w:r w:rsidRPr="00E11373">
        <w:t>, COM(2019) 640 final.</w:t>
      </w:r>
    </w:p>
  </w:footnote>
  <w:footnote w:id="24">
    <w:p w14:paraId="3F7D67A6" w14:textId="77777777" w:rsidR="005C7196" w:rsidRPr="00E11373" w:rsidRDefault="005C7196" w:rsidP="00DE5445">
      <w:pPr>
        <w:pStyle w:val="FootnoteText"/>
      </w:pPr>
      <w:r w:rsidRPr="00E11373">
        <w:rPr>
          <w:rStyle w:val="FootnoteReference"/>
        </w:rPr>
        <w:footnoteRef/>
      </w:r>
      <w:r w:rsidRPr="00E11373">
        <w:tab/>
        <w:t xml:space="preserve">Comunicarea Comisiei către Parlamentul European, Consiliul European, Consiliu, Banca Centrală Europeană, Comitetul Economic și Social European și Comitetul Regiunilor, </w:t>
      </w:r>
      <w:r w:rsidRPr="00E11373">
        <w:rPr>
          <w:iCs/>
        </w:rPr>
        <w:t>Plan de acțiune: finanțarea creșterii durabile</w:t>
      </w:r>
      <w:r w:rsidRPr="00E11373">
        <w:t>, COM(2018) 097 final.</w:t>
      </w:r>
    </w:p>
  </w:footnote>
  <w:footnote w:id="25">
    <w:p w14:paraId="48FE2A8A" w14:textId="77777777" w:rsidR="0015348C" w:rsidRPr="00E11373" w:rsidRDefault="0015348C" w:rsidP="005F5F45">
      <w:pPr>
        <w:pStyle w:val="FootnoteText"/>
      </w:pPr>
      <w:r w:rsidRPr="00E11373">
        <w:rPr>
          <w:rStyle w:val="FootnoteReference"/>
        </w:rPr>
        <w:footnoteRef/>
      </w:r>
      <w:r w:rsidRPr="00E11373">
        <w:tab/>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(JO L 182, 29.6.2013, p. 19, ELI: http://data.europa.eu/eli/dir/2013/34/oj).</w:t>
      </w:r>
    </w:p>
  </w:footnote>
  <w:footnote w:id="26">
    <w:p w14:paraId="59B2C4CD" w14:textId="77777777" w:rsidR="007B433C" w:rsidRPr="00A128B6" w:rsidRDefault="007B433C" w:rsidP="007B7660">
      <w:pPr>
        <w:pStyle w:val="FootnoteText"/>
      </w:pPr>
      <w:r w:rsidRPr="00E11373">
        <w:rPr>
          <w:rStyle w:val="FootnoteReference"/>
        </w:rPr>
        <w:footnoteRef/>
      </w:r>
      <w:r w:rsidRPr="00E11373">
        <w:tab/>
        <w:t>Directiva 2004/109/CE a Parlamentului European și a Consiliului din 15 decembrie 2004 privind armonizarea obligațiilor de transparență în ceea ce privește informația referitoare la emitenții ale căror valori mobiliare sunt admise la tranzacționare pe o piață reglementată și de modificare a Directivei 2001/34/CE (JO L 390, 31.12.2004, p. 38, ELI</w:t>
      </w:r>
      <w:r>
        <w:t xml:space="preserve">: </w:t>
      </w:r>
      <w:hyperlink r:id="rId3" w:history="1">
        <w:r>
          <w:rPr>
            <w:rStyle w:val="Hyperlink"/>
          </w:rPr>
          <w:t>http://data.europa.eu/eli/dir/2004/109/oj</w:t>
        </w:r>
      </w:hyperlink>
      <w:r>
        <w:t xml:space="preserve">). </w:t>
      </w:r>
    </w:p>
  </w:footnote>
  <w:footnote w:id="27">
    <w:p w14:paraId="3A34D00E" w14:textId="77777777" w:rsidR="00CA2B31" w:rsidRDefault="00CA2B31" w:rsidP="00CA2B31">
      <w:pPr>
        <w:pStyle w:val="FootnoteText"/>
      </w:pPr>
      <w:r>
        <w:rPr>
          <w:rStyle w:val="FootnoteReference"/>
        </w:rPr>
        <w:footnoteRef/>
      </w:r>
      <w:r>
        <w:tab/>
        <w:t>Astfel cum se menționează la articolul 58 alineatul (2) litera (a) sau (b) din Regulamentul financiar.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DBE5" w14:textId="77777777" w:rsidR="0033790A" w:rsidRDefault="00337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8AF4" w14:textId="77777777" w:rsidR="0033790A" w:rsidRDefault="00337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57C4C1E"/>
    <w:multiLevelType w:val="hybridMultilevel"/>
    <w:tmpl w:val="C8306D66"/>
    <w:lvl w:ilvl="0" w:tplc="00C618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7"/>
  </w:num>
  <w:num w:numId="5">
    <w:abstractNumId w:val="16"/>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num>
  <w:num w:numId="22">
    <w:abstractNumId w:val="15"/>
    <w:lvlOverride w:ilvl="0">
      <w:startOverride w:val="1"/>
    </w:lvlOverride>
  </w:num>
  <w:num w:numId="23">
    <w:abstractNumId w:val="12"/>
    <w:lvlOverride w:ilvl="0">
      <w:startOverride w:val="1"/>
    </w:lvlOverride>
  </w:num>
  <w:num w:numId="24">
    <w:abstractNumId w:val="24"/>
  </w:num>
  <w:num w:numId="25">
    <w:abstractNumId w:val="12"/>
  </w:num>
  <w:num w:numId="26">
    <w:abstractNumId w:val="27"/>
  </w:num>
  <w:num w:numId="27">
    <w:abstractNumId w:val="6"/>
  </w:num>
  <w:num w:numId="28">
    <w:abstractNumId w:val="13"/>
  </w:num>
  <w:num w:numId="29">
    <w:abstractNumId w:val="14"/>
  </w:num>
  <w:num w:numId="30">
    <w:abstractNumId w:val="4"/>
  </w:num>
  <w:num w:numId="31">
    <w:abstractNumId w:val="26"/>
  </w:num>
  <w:num w:numId="32">
    <w:abstractNumId w:val="3"/>
  </w:num>
  <w:num w:numId="33">
    <w:abstractNumId w:val="15"/>
  </w:num>
  <w:num w:numId="34">
    <w:abstractNumId w:val="22"/>
  </w:num>
  <w:num w:numId="35">
    <w:abstractNumId w:val="23"/>
  </w:num>
  <w:num w:numId="36">
    <w:abstractNumId w:val="5"/>
  </w:num>
  <w:num w:numId="37">
    <w:abstractNumId w:val="19"/>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3-12 19:53: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A845DA0-9CB7-4710-88F5-750A34F796B3"/>
    <w:docVar w:name="LW_COVERPAGE_TYPE" w:val="1"/>
    <w:docVar w:name="LW_CreatedUtc" w:val="2025-02-06T08:46:16.1545004Z"/>
    <w:docVar w:name="LW_CROSSREFERENCE" w:val="{SWD(2025) 80 final}"/>
    <w:docVar w:name="LW_DocType" w:val="COM"/>
    <w:docVar w:name="LW_EMISSION" w:val="26.2.2025"/>
    <w:docVar w:name="LW_EMISSION_ISODATE" w:val="2025-02-26"/>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044"/>
    <w:docVar w:name="LW_REF.II.NEW.CP_YEAR" w:val="2025"/>
    <w:docVar w:name="LW_REF.INST.NEW" w:val="COM"/>
    <w:docVar w:name="LW_REF.INST.NEW_ADOPTED" w:val="final"/>
    <w:docVar w:name="LW_REF.INST.NEW_TEXT" w:val="(2025) 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Directivelor (UE) 2022/2464 \u537?i (UE) 2024/1760 în ceea ce prive\u537?te datele de la care statele membre trebuie s\u259? aplice anumite cerin\u539?e de raportare \u537?i de diligen\u539?\u259? necesar\u259? în materie de durabilitate a întreprinderilor"/>
    <w:docVar w:name="LW_TYPE.DOC.CP" w:val="DIRECTIV\u258? A PARLAMENTULUI EUROPEAN \u536?I A CONSILIULUI"/>
    <w:docVar w:name="LwApiVersions" w:val="LW4CoDe 1.24.5.0; LW 9.0, Build 20240221"/>
  </w:docVars>
  <w:rsids>
    <w:rsidRoot w:val="006C7F87"/>
    <w:rsid w:val="00000A56"/>
    <w:rsid w:val="00001519"/>
    <w:rsid w:val="00001C94"/>
    <w:rsid w:val="00001F5D"/>
    <w:rsid w:val="00002430"/>
    <w:rsid w:val="0000448A"/>
    <w:rsid w:val="00004740"/>
    <w:rsid w:val="00004DCC"/>
    <w:rsid w:val="00005FB2"/>
    <w:rsid w:val="000064E3"/>
    <w:rsid w:val="00006BE4"/>
    <w:rsid w:val="00010BD3"/>
    <w:rsid w:val="000115DD"/>
    <w:rsid w:val="00014203"/>
    <w:rsid w:val="00014E80"/>
    <w:rsid w:val="00015BA9"/>
    <w:rsid w:val="00016972"/>
    <w:rsid w:val="00017932"/>
    <w:rsid w:val="00020A00"/>
    <w:rsid w:val="00021ED7"/>
    <w:rsid w:val="00022B87"/>
    <w:rsid w:val="00023740"/>
    <w:rsid w:val="000240CF"/>
    <w:rsid w:val="00024DBC"/>
    <w:rsid w:val="000333BE"/>
    <w:rsid w:val="0003473F"/>
    <w:rsid w:val="00035C0E"/>
    <w:rsid w:val="00037573"/>
    <w:rsid w:val="000406B2"/>
    <w:rsid w:val="000414FE"/>
    <w:rsid w:val="00042905"/>
    <w:rsid w:val="00044603"/>
    <w:rsid w:val="00046A65"/>
    <w:rsid w:val="00046D7B"/>
    <w:rsid w:val="00047793"/>
    <w:rsid w:val="000506E3"/>
    <w:rsid w:val="00051236"/>
    <w:rsid w:val="000515FD"/>
    <w:rsid w:val="00051AFB"/>
    <w:rsid w:val="00053819"/>
    <w:rsid w:val="0005409B"/>
    <w:rsid w:val="00057751"/>
    <w:rsid w:val="0005779E"/>
    <w:rsid w:val="00057DC9"/>
    <w:rsid w:val="00057FB8"/>
    <w:rsid w:val="00061420"/>
    <w:rsid w:val="000658DE"/>
    <w:rsid w:val="00065E58"/>
    <w:rsid w:val="00070B34"/>
    <w:rsid w:val="00070DE2"/>
    <w:rsid w:val="000722D8"/>
    <w:rsid w:val="00073A17"/>
    <w:rsid w:val="00073C6C"/>
    <w:rsid w:val="00074A2F"/>
    <w:rsid w:val="00074B47"/>
    <w:rsid w:val="00074F9C"/>
    <w:rsid w:val="000751F3"/>
    <w:rsid w:val="000759AE"/>
    <w:rsid w:val="00075F17"/>
    <w:rsid w:val="00080A04"/>
    <w:rsid w:val="00081021"/>
    <w:rsid w:val="00083172"/>
    <w:rsid w:val="00083FC5"/>
    <w:rsid w:val="00084620"/>
    <w:rsid w:val="00084AAD"/>
    <w:rsid w:val="0008577A"/>
    <w:rsid w:val="000857AB"/>
    <w:rsid w:val="000869E9"/>
    <w:rsid w:val="0008797C"/>
    <w:rsid w:val="00092E59"/>
    <w:rsid w:val="00094284"/>
    <w:rsid w:val="000944BA"/>
    <w:rsid w:val="0009477C"/>
    <w:rsid w:val="000956A0"/>
    <w:rsid w:val="00096750"/>
    <w:rsid w:val="000A0C13"/>
    <w:rsid w:val="000A19BC"/>
    <w:rsid w:val="000A1BF2"/>
    <w:rsid w:val="000A30FC"/>
    <w:rsid w:val="000A3313"/>
    <w:rsid w:val="000A419A"/>
    <w:rsid w:val="000A561A"/>
    <w:rsid w:val="000A5941"/>
    <w:rsid w:val="000A63E4"/>
    <w:rsid w:val="000A68D5"/>
    <w:rsid w:val="000B0CA2"/>
    <w:rsid w:val="000B1895"/>
    <w:rsid w:val="000B1B58"/>
    <w:rsid w:val="000B1F10"/>
    <w:rsid w:val="000B1FD8"/>
    <w:rsid w:val="000B404F"/>
    <w:rsid w:val="000B47D3"/>
    <w:rsid w:val="000B51AB"/>
    <w:rsid w:val="000B5330"/>
    <w:rsid w:val="000B7904"/>
    <w:rsid w:val="000C02AD"/>
    <w:rsid w:val="000C13CE"/>
    <w:rsid w:val="000C1ADD"/>
    <w:rsid w:val="000C2145"/>
    <w:rsid w:val="000C21BD"/>
    <w:rsid w:val="000C4977"/>
    <w:rsid w:val="000C4B22"/>
    <w:rsid w:val="000C5C36"/>
    <w:rsid w:val="000C5D90"/>
    <w:rsid w:val="000C68DE"/>
    <w:rsid w:val="000D0FA0"/>
    <w:rsid w:val="000D3A2F"/>
    <w:rsid w:val="000D5AA7"/>
    <w:rsid w:val="000D5FE5"/>
    <w:rsid w:val="000D6015"/>
    <w:rsid w:val="000D62EA"/>
    <w:rsid w:val="000D6621"/>
    <w:rsid w:val="000D6EEE"/>
    <w:rsid w:val="000E100A"/>
    <w:rsid w:val="000E39FC"/>
    <w:rsid w:val="000E3C43"/>
    <w:rsid w:val="000E44CD"/>
    <w:rsid w:val="000E764E"/>
    <w:rsid w:val="000E7BD7"/>
    <w:rsid w:val="000F1D21"/>
    <w:rsid w:val="000F2513"/>
    <w:rsid w:val="000F42C4"/>
    <w:rsid w:val="000F7EE5"/>
    <w:rsid w:val="001006D0"/>
    <w:rsid w:val="00100B9F"/>
    <w:rsid w:val="00100FF0"/>
    <w:rsid w:val="00103694"/>
    <w:rsid w:val="00103ABA"/>
    <w:rsid w:val="00105384"/>
    <w:rsid w:val="00105750"/>
    <w:rsid w:val="001065F5"/>
    <w:rsid w:val="00106C8D"/>
    <w:rsid w:val="00107329"/>
    <w:rsid w:val="00110596"/>
    <w:rsid w:val="00110866"/>
    <w:rsid w:val="00110AFB"/>
    <w:rsid w:val="00110D9F"/>
    <w:rsid w:val="001112CA"/>
    <w:rsid w:val="00113E98"/>
    <w:rsid w:val="00116A75"/>
    <w:rsid w:val="00116F1C"/>
    <w:rsid w:val="00120567"/>
    <w:rsid w:val="00121879"/>
    <w:rsid w:val="00122340"/>
    <w:rsid w:val="001230BB"/>
    <w:rsid w:val="001238EF"/>
    <w:rsid w:val="0012448C"/>
    <w:rsid w:val="00124F31"/>
    <w:rsid w:val="001254B6"/>
    <w:rsid w:val="00125F26"/>
    <w:rsid w:val="001269CB"/>
    <w:rsid w:val="00126DDC"/>
    <w:rsid w:val="001275AC"/>
    <w:rsid w:val="00127E30"/>
    <w:rsid w:val="00131346"/>
    <w:rsid w:val="00133251"/>
    <w:rsid w:val="001333BB"/>
    <w:rsid w:val="001365F6"/>
    <w:rsid w:val="0013685A"/>
    <w:rsid w:val="00137105"/>
    <w:rsid w:val="001423E7"/>
    <w:rsid w:val="001428A5"/>
    <w:rsid w:val="001453BD"/>
    <w:rsid w:val="001459D6"/>
    <w:rsid w:val="001466AD"/>
    <w:rsid w:val="001471FE"/>
    <w:rsid w:val="00147D4A"/>
    <w:rsid w:val="00150A06"/>
    <w:rsid w:val="00150A0C"/>
    <w:rsid w:val="00152FAA"/>
    <w:rsid w:val="0015348C"/>
    <w:rsid w:val="00153715"/>
    <w:rsid w:val="00153787"/>
    <w:rsid w:val="00154A58"/>
    <w:rsid w:val="00155218"/>
    <w:rsid w:val="0015570C"/>
    <w:rsid w:val="001559B2"/>
    <w:rsid w:val="001615C9"/>
    <w:rsid w:val="00161789"/>
    <w:rsid w:val="00162314"/>
    <w:rsid w:val="00162A4D"/>
    <w:rsid w:val="00163D9A"/>
    <w:rsid w:val="001649F9"/>
    <w:rsid w:val="00164D21"/>
    <w:rsid w:val="0016514D"/>
    <w:rsid w:val="0016688D"/>
    <w:rsid w:val="00167380"/>
    <w:rsid w:val="001704A7"/>
    <w:rsid w:val="001704D3"/>
    <w:rsid w:val="00170CC9"/>
    <w:rsid w:val="001719D9"/>
    <w:rsid w:val="00172033"/>
    <w:rsid w:val="00172EF5"/>
    <w:rsid w:val="001731F8"/>
    <w:rsid w:val="00175112"/>
    <w:rsid w:val="001776F1"/>
    <w:rsid w:val="00180EC5"/>
    <w:rsid w:val="0018228A"/>
    <w:rsid w:val="00183166"/>
    <w:rsid w:val="00183581"/>
    <w:rsid w:val="001838E7"/>
    <w:rsid w:val="00185648"/>
    <w:rsid w:val="001858F5"/>
    <w:rsid w:val="00186052"/>
    <w:rsid w:val="00186A70"/>
    <w:rsid w:val="00187AAD"/>
    <w:rsid w:val="00187BE3"/>
    <w:rsid w:val="00187DFA"/>
    <w:rsid w:val="00190E89"/>
    <w:rsid w:val="00191A83"/>
    <w:rsid w:val="00192B77"/>
    <w:rsid w:val="00192E2C"/>
    <w:rsid w:val="0019356E"/>
    <w:rsid w:val="00194258"/>
    <w:rsid w:val="00194BFD"/>
    <w:rsid w:val="0019598C"/>
    <w:rsid w:val="00196323"/>
    <w:rsid w:val="00197613"/>
    <w:rsid w:val="001A1613"/>
    <w:rsid w:val="001A1951"/>
    <w:rsid w:val="001A21C8"/>
    <w:rsid w:val="001A3845"/>
    <w:rsid w:val="001A38CB"/>
    <w:rsid w:val="001A545C"/>
    <w:rsid w:val="001A6105"/>
    <w:rsid w:val="001A6AB3"/>
    <w:rsid w:val="001A7869"/>
    <w:rsid w:val="001A7DB8"/>
    <w:rsid w:val="001B136D"/>
    <w:rsid w:val="001B17B7"/>
    <w:rsid w:val="001B3E56"/>
    <w:rsid w:val="001B428D"/>
    <w:rsid w:val="001B4307"/>
    <w:rsid w:val="001B4861"/>
    <w:rsid w:val="001B5A37"/>
    <w:rsid w:val="001B5FA7"/>
    <w:rsid w:val="001B7A1B"/>
    <w:rsid w:val="001C2F9D"/>
    <w:rsid w:val="001C3537"/>
    <w:rsid w:val="001C3BFF"/>
    <w:rsid w:val="001C49AB"/>
    <w:rsid w:val="001C785F"/>
    <w:rsid w:val="001D0366"/>
    <w:rsid w:val="001D0B41"/>
    <w:rsid w:val="001D2668"/>
    <w:rsid w:val="001D31CC"/>
    <w:rsid w:val="001D3F76"/>
    <w:rsid w:val="001D5C73"/>
    <w:rsid w:val="001D6441"/>
    <w:rsid w:val="001D68ED"/>
    <w:rsid w:val="001E0B9F"/>
    <w:rsid w:val="001E2559"/>
    <w:rsid w:val="001E3C74"/>
    <w:rsid w:val="001E595B"/>
    <w:rsid w:val="001E7E44"/>
    <w:rsid w:val="001F00A4"/>
    <w:rsid w:val="001F11BB"/>
    <w:rsid w:val="001F18C1"/>
    <w:rsid w:val="001F1CFD"/>
    <w:rsid w:val="001F3ED5"/>
    <w:rsid w:val="001F458A"/>
    <w:rsid w:val="001F5202"/>
    <w:rsid w:val="001F5A76"/>
    <w:rsid w:val="001F6994"/>
    <w:rsid w:val="001F6F3A"/>
    <w:rsid w:val="002002BC"/>
    <w:rsid w:val="00200F16"/>
    <w:rsid w:val="00201884"/>
    <w:rsid w:val="00201F03"/>
    <w:rsid w:val="00202280"/>
    <w:rsid w:val="002029D4"/>
    <w:rsid w:val="00202AD3"/>
    <w:rsid w:val="0020431E"/>
    <w:rsid w:val="0020482E"/>
    <w:rsid w:val="00204D3B"/>
    <w:rsid w:val="0020507B"/>
    <w:rsid w:val="00206CDC"/>
    <w:rsid w:val="00210E32"/>
    <w:rsid w:val="00211700"/>
    <w:rsid w:val="00211BF5"/>
    <w:rsid w:val="00212922"/>
    <w:rsid w:val="00213D3F"/>
    <w:rsid w:val="00213E32"/>
    <w:rsid w:val="00216527"/>
    <w:rsid w:val="00216752"/>
    <w:rsid w:val="00217359"/>
    <w:rsid w:val="002173A5"/>
    <w:rsid w:val="00220DDA"/>
    <w:rsid w:val="00222CD5"/>
    <w:rsid w:val="002235EA"/>
    <w:rsid w:val="002241E2"/>
    <w:rsid w:val="002253AB"/>
    <w:rsid w:val="00226EEE"/>
    <w:rsid w:val="00233980"/>
    <w:rsid w:val="00233DC7"/>
    <w:rsid w:val="00235DFF"/>
    <w:rsid w:val="002402F7"/>
    <w:rsid w:val="002404CF"/>
    <w:rsid w:val="00240611"/>
    <w:rsid w:val="0024154A"/>
    <w:rsid w:val="002418E6"/>
    <w:rsid w:val="0024198F"/>
    <w:rsid w:val="0024323A"/>
    <w:rsid w:val="0024366B"/>
    <w:rsid w:val="00244488"/>
    <w:rsid w:val="00246B74"/>
    <w:rsid w:val="00247779"/>
    <w:rsid w:val="00250DBE"/>
    <w:rsid w:val="0025158A"/>
    <w:rsid w:val="00251A37"/>
    <w:rsid w:val="00252831"/>
    <w:rsid w:val="002537AF"/>
    <w:rsid w:val="00253805"/>
    <w:rsid w:val="0025383F"/>
    <w:rsid w:val="0025414A"/>
    <w:rsid w:val="00255F5F"/>
    <w:rsid w:val="00256B52"/>
    <w:rsid w:val="0025725C"/>
    <w:rsid w:val="002614A5"/>
    <w:rsid w:val="00261ED2"/>
    <w:rsid w:val="00262F94"/>
    <w:rsid w:val="002650E3"/>
    <w:rsid w:val="002654FB"/>
    <w:rsid w:val="00266484"/>
    <w:rsid w:val="002667E8"/>
    <w:rsid w:val="00271909"/>
    <w:rsid w:val="00271B0D"/>
    <w:rsid w:val="00274E63"/>
    <w:rsid w:val="00274FCF"/>
    <w:rsid w:val="002761CA"/>
    <w:rsid w:val="002775D8"/>
    <w:rsid w:val="00282A21"/>
    <w:rsid w:val="00285794"/>
    <w:rsid w:val="00285BEE"/>
    <w:rsid w:val="002868DC"/>
    <w:rsid w:val="00286FA2"/>
    <w:rsid w:val="0029280D"/>
    <w:rsid w:val="00293059"/>
    <w:rsid w:val="00293806"/>
    <w:rsid w:val="0029533F"/>
    <w:rsid w:val="002956CC"/>
    <w:rsid w:val="00297A5D"/>
    <w:rsid w:val="002A0B7B"/>
    <w:rsid w:val="002A2AF9"/>
    <w:rsid w:val="002A2E8F"/>
    <w:rsid w:val="002A3C91"/>
    <w:rsid w:val="002A3ECA"/>
    <w:rsid w:val="002A5850"/>
    <w:rsid w:val="002A75A8"/>
    <w:rsid w:val="002B0AE1"/>
    <w:rsid w:val="002B30AF"/>
    <w:rsid w:val="002B3437"/>
    <w:rsid w:val="002B4006"/>
    <w:rsid w:val="002B45CD"/>
    <w:rsid w:val="002B668A"/>
    <w:rsid w:val="002B6DCB"/>
    <w:rsid w:val="002B7057"/>
    <w:rsid w:val="002B7587"/>
    <w:rsid w:val="002C0002"/>
    <w:rsid w:val="002C3CF8"/>
    <w:rsid w:val="002C5F60"/>
    <w:rsid w:val="002C68B1"/>
    <w:rsid w:val="002C75E5"/>
    <w:rsid w:val="002D3140"/>
    <w:rsid w:val="002D3451"/>
    <w:rsid w:val="002D59B4"/>
    <w:rsid w:val="002D6A34"/>
    <w:rsid w:val="002D76A6"/>
    <w:rsid w:val="002E2D55"/>
    <w:rsid w:val="002E31AD"/>
    <w:rsid w:val="002E3635"/>
    <w:rsid w:val="002F0991"/>
    <w:rsid w:val="002F319C"/>
    <w:rsid w:val="002F4862"/>
    <w:rsid w:val="002F4A91"/>
    <w:rsid w:val="002F4E46"/>
    <w:rsid w:val="002F5243"/>
    <w:rsid w:val="002F773F"/>
    <w:rsid w:val="002F7CCE"/>
    <w:rsid w:val="003017E4"/>
    <w:rsid w:val="003024E2"/>
    <w:rsid w:val="00307D02"/>
    <w:rsid w:val="003102DB"/>
    <w:rsid w:val="00310A73"/>
    <w:rsid w:val="00310F6D"/>
    <w:rsid w:val="003117B2"/>
    <w:rsid w:val="00311F6F"/>
    <w:rsid w:val="003121A3"/>
    <w:rsid w:val="00312AA4"/>
    <w:rsid w:val="00312FF4"/>
    <w:rsid w:val="00313A24"/>
    <w:rsid w:val="00313D82"/>
    <w:rsid w:val="00314468"/>
    <w:rsid w:val="00314682"/>
    <w:rsid w:val="00315DE7"/>
    <w:rsid w:val="00315F26"/>
    <w:rsid w:val="00316438"/>
    <w:rsid w:val="00316451"/>
    <w:rsid w:val="00316EFF"/>
    <w:rsid w:val="003204F1"/>
    <w:rsid w:val="00320592"/>
    <w:rsid w:val="00320FD0"/>
    <w:rsid w:val="00321646"/>
    <w:rsid w:val="00321BE7"/>
    <w:rsid w:val="00321F4A"/>
    <w:rsid w:val="00322B69"/>
    <w:rsid w:val="00322EFF"/>
    <w:rsid w:val="00323EC5"/>
    <w:rsid w:val="003240E3"/>
    <w:rsid w:val="00324E2F"/>
    <w:rsid w:val="00325BD4"/>
    <w:rsid w:val="00326015"/>
    <w:rsid w:val="00327591"/>
    <w:rsid w:val="00327AFF"/>
    <w:rsid w:val="00331383"/>
    <w:rsid w:val="00332C20"/>
    <w:rsid w:val="0033344A"/>
    <w:rsid w:val="00334C5B"/>
    <w:rsid w:val="00334FCB"/>
    <w:rsid w:val="00336F25"/>
    <w:rsid w:val="0033790A"/>
    <w:rsid w:val="003379BF"/>
    <w:rsid w:val="00337C2A"/>
    <w:rsid w:val="003409AE"/>
    <w:rsid w:val="00341681"/>
    <w:rsid w:val="00343AF5"/>
    <w:rsid w:val="003446B3"/>
    <w:rsid w:val="00344AD0"/>
    <w:rsid w:val="00344EAA"/>
    <w:rsid w:val="00347DBD"/>
    <w:rsid w:val="00350807"/>
    <w:rsid w:val="00351D9C"/>
    <w:rsid w:val="00352AA2"/>
    <w:rsid w:val="003537A2"/>
    <w:rsid w:val="00353FFD"/>
    <w:rsid w:val="003553F8"/>
    <w:rsid w:val="00355C83"/>
    <w:rsid w:val="00360F19"/>
    <w:rsid w:val="00361B10"/>
    <w:rsid w:val="00363183"/>
    <w:rsid w:val="0036350F"/>
    <w:rsid w:val="00364007"/>
    <w:rsid w:val="00364373"/>
    <w:rsid w:val="0036598A"/>
    <w:rsid w:val="00365B52"/>
    <w:rsid w:val="00365BD0"/>
    <w:rsid w:val="00370804"/>
    <w:rsid w:val="00371584"/>
    <w:rsid w:val="00372107"/>
    <w:rsid w:val="00373936"/>
    <w:rsid w:val="0037411A"/>
    <w:rsid w:val="00374542"/>
    <w:rsid w:val="00375803"/>
    <w:rsid w:val="00377741"/>
    <w:rsid w:val="00380041"/>
    <w:rsid w:val="0038052F"/>
    <w:rsid w:val="00380540"/>
    <w:rsid w:val="00381DB2"/>
    <w:rsid w:val="00381E10"/>
    <w:rsid w:val="003822E4"/>
    <w:rsid w:val="003825CA"/>
    <w:rsid w:val="0038523F"/>
    <w:rsid w:val="003869C9"/>
    <w:rsid w:val="00387B5E"/>
    <w:rsid w:val="00387B8C"/>
    <w:rsid w:val="00387C50"/>
    <w:rsid w:val="0039229E"/>
    <w:rsid w:val="003925DA"/>
    <w:rsid w:val="00395EEE"/>
    <w:rsid w:val="0039704F"/>
    <w:rsid w:val="00397E46"/>
    <w:rsid w:val="003A0FEF"/>
    <w:rsid w:val="003A4147"/>
    <w:rsid w:val="003A4F24"/>
    <w:rsid w:val="003A5802"/>
    <w:rsid w:val="003A64AB"/>
    <w:rsid w:val="003A735F"/>
    <w:rsid w:val="003B0695"/>
    <w:rsid w:val="003B3882"/>
    <w:rsid w:val="003B51EB"/>
    <w:rsid w:val="003C2759"/>
    <w:rsid w:val="003C6B22"/>
    <w:rsid w:val="003C7508"/>
    <w:rsid w:val="003D2299"/>
    <w:rsid w:val="003D234B"/>
    <w:rsid w:val="003D25D1"/>
    <w:rsid w:val="003D2B3B"/>
    <w:rsid w:val="003D56AB"/>
    <w:rsid w:val="003D601A"/>
    <w:rsid w:val="003D6D21"/>
    <w:rsid w:val="003D6D30"/>
    <w:rsid w:val="003D6EEE"/>
    <w:rsid w:val="003D7AF6"/>
    <w:rsid w:val="003D7C1D"/>
    <w:rsid w:val="003E04EB"/>
    <w:rsid w:val="003E1F15"/>
    <w:rsid w:val="003E2888"/>
    <w:rsid w:val="003E324A"/>
    <w:rsid w:val="003E41BD"/>
    <w:rsid w:val="003E424A"/>
    <w:rsid w:val="003E5C68"/>
    <w:rsid w:val="003E6A28"/>
    <w:rsid w:val="003E6CBE"/>
    <w:rsid w:val="003F15F9"/>
    <w:rsid w:val="003F2513"/>
    <w:rsid w:val="003F2BB2"/>
    <w:rsid w:val="003F368B"/>
    <w:rsid w:val="003F45C2"/>
    <w:rsid w:val="003F4AD4"/>
    <w:rsid w:val="003F5635"/>
    <w:rsid w:val="003F67DF"/>
    <w:rsid w:val="003F6B69"/>
    <w:rsid w:val="003F7F2C"/>
    <w:rsid w:val="00400B70"/>
    <w:rsid w:val="00401809"/>
    <w:rsid w:val="00402489"/>
    <w:rsid w:val="00402BCC"/>
    <w:rsid w:val="0040540B"/>
    <w:rsid w:val="00405725"/>
    <w:rsid w:val="0040618E"/>
    <w:rsid w:val="00406D00"/>
    <w:rsid w:val="00406D1A"/>
    <w:rsid w:val="00406FA6"/>
    <w:rsid w:val="00407B27"/>
    <w:rsid w:val="00407B6C"/>
    <w:rsid w:val="00410B63"/>
    <w:rsid w:val="00410E37"/>
    <w:rsid w:val="00412EEF"/>
    <w:rsid w:val="004135E9"/>
    <w:rsid w:val="00415FDE"/>
    <w:rsid w:val="00416EC6"/>
    <w:rsid w:val="00420292"/>
    <w:rsid w:val="0042085E"/>
    <w:rsid w:val="004214B1"/>
    <w:rsid w:val="00421A7A"/>
    <w:rsid w:val="00421AE4"/>
    <w:rsid w:val="004223DF"/>
    <w:rsid w:val="00422885"/>
    <w:rsid w:val="00423837"/>
    <w:rsid w:val="0042401C"/>
    <w:rsid w:val="004241F7"/>
    <w:rsid w:val="00425BAF"/>
    <w:rsid w:val="0042621B"/>
    <w:rsid w:val="0042624C"/>
    <w:rsid w:val="0042648E"/>
    <w:rsid w:val="00427C2F"/>
    <w:rsid w:val="00427CE8"/>
    <w:rsid w:val="004406DD"/>
    <w:rsid w:val="00440E5D"/>
    <w:rsid w:val="0044314F"/>
    <w:rsid w:val="00445246"/>
    <w:rsid w:val="00446AE5"/>
    <w:rsid w:val="004508D2"/>
    <w:rsid w:val="004509EC"/>
    <w:rsid w:val="00450F48"/>
    <w:rsid w:val="004513C5"/>
    <w:rsid w:val="00451B5A"/>
    <w:rsid w:val="0045374D"/>
    <w:rsid w:val="004559C6"/>
    <w:rsid w:val="00455DB9"/>
    <w:rsid w:val="00456DE1"/>
    <w:rsid w:val="00457727"/>
    <w:rsid w:val="00461474"/>
    <w:rsid w:val="004625B6"/>
    <w:rsid w:val="00463146"/>
    <w:rsid w:val="00463F23"/>
    <w:rsid w:val="00465CAD"/>
    <w:rsid w:val="0046760B"/>
    <w:rsid w:val="0046D8D3"/>
    <w:rsid w:val="00472108"/>
    <w:rsid w:val="00474DBA"/>
    <w:rsid w:val="00474FD9"/>
    <w:rsid w:val="00475C7C"/>
    <w:rsid w:val="00480F54"/>
    <w:rsid w:val="00481BEB"/>
    <w:rsid w:val="00482FA2"/>
    <w:rsid w:val="00483098"/>
    <w:rsid w:val="004843D2"/>
    <w:rsid w:val="00484F89"/>
    <w:rsid w:val="00485FDD"/>
    <w:rsid w:val="004862E3"/>
    <w:rsid w:val="004875CD"/>
    <w:rsid w:val="004903FE"/>
    <w:rsid w:val="004904F6"/>
    <w:rsid w:val="00490B17"/>
    <w:rsid w:val="004936D2"/>
    <w:rsid w:val="00494487"/>
    <w:rsid w:val="0049770C"/>
    <w:rsid w:val="004A0984"/>
    <w:rsid w:val="004A2570"/>
    <w:rsid w:val="004A3B6F"/>
    <w:rsid w:val="004A3C49"/>
    <w:rsid w:val="004A431C"/>
    <w:rsid w:val="004A57B2"/>
    <w:rsid w:val="004A5E27"/>
    <w:rsid w:val="004A73DD"/>
    <w:rsid w:val="004B0309"/>
    <w:rsid w:val="004B154E"/>
    <w:rsid w:val="004B215F"/>
    <w:rsid w:val="004B2D2D"/>
    <w:rsid w:val="004B3F4F"/>
    <w:rsid w:val="004B4E96"/>
    <w:rsid w:val="004B5A53"/>
    <w:rsid w:val="004B6190"/>
    <w:rsid w:val="004B6520"/>
    <w:rsid w:val="004B71A0"/>
    <w:rsid w:val="004B7930"/>
    <w:rsid w:val="004B79C1"/>
    <w:rsid w:val="004C025F"/>
    <w:rsid w:val="004C04A1"/>
    <w:rsid w:val="004C1461"/>
    <w:rsid w:val="004C1832"/>
    <w:rsid w:val="004C589F"/>
    <w:rsid w:val="004C60B6"/>
    <w:rsid w:val="004C6B84"/>
    <w:rsid w:val="004C6CB1"/>
    <w:rsid w:val="004C6F03"/>
    <w:rsid w:val="004C6F31"/>
    <w:rsid w:val="004C79CC"/>
    <w:rsid w:val="004C7A2C"/>
    <w:rsid w:val="004D238D"/>
    <w:rsid w:val="004D2808"/>
    <w:rsid w:val="004D439F"/>
    <w:rsid w:val="004D4EC0"/>
    <w:rsid w:val="004D5429"/>
    <w:rsid w:val="004D5B57"/>
    <w:rsid w:val="004D7CE7"/>
    <w:rsid w:val="004E0836"/>
    <w:rsid w:val="004E1576"/>
    <w:rsid w:val="004E16E8"/>
    <w:rsid w:val="004E174B"/>
    <w:rsid w:val="004E1E2E"/>
    <w:rsid w:val="004E3EB8"/>
    <w:rsid w:val="004E3F6C"/>
    <w:rsid w:val="004E518E"/>
    <w:rsid w:val="004E5D02"/>
    <w:rsid w:val="004E5F46"/>
    <w:rsid w:val="004E664D"/>
    <w:rsid w:val="004E719D"/>
    <w:rsid w:val="004F0204"/>
    <w:rsid w:val="004F0CF4"/>
    <w:rsid w:val="004F2909"/>
    <w:rsid w:val="004F554B"/>
    <w:rsid w:val="004F6090"/>
    <w:rsid w:val="004F619D"/>
    <w:rsid w:val="004F7D37"/>
    <w:rsid w:val="004F7ED9"/>
    <w:rsid w:val="0050020C"/>
    <w:rsid w:val="00500C88"/>
    <w:rsid w:val="00501E4B"/>
    <w:rsid w:val="00501EFE"/>
    <w:rsid w:val="00505CF3"/>
    <w:rsid w:val="005064D3"/>
    <w:rsid w:val="00506697"/>
    <w:rsid w:val="00506B13"/>
    <w:rsid w:val="00506BC9"/>
    <w:rsid w:val="00511986"/>
    <w:rsid w:val="005134E1"/>
    <w:rsid w:val="00513C08"/>
    <w:rsid w:val="00515006"/>
    <w:rsid w:val="005167AD"/>
    <w:rsid w:val="005179ED"/>
    <w:rsid w:val="00517CE1"/>
    <w:rsid w:val="00520A0A"/>
    <w:rsid w:val="00522E80"/>
    <w:rsid w:val="005242A7"/>
    <w:rsid w:val="0052683F"/>
    <w:rsid w:val="00526A7F"/>
    <w:rsid w:val="0053244D"/>
    <w:rsid w:val="00533EEC"/>
    <w:rsid w:val="00536E73"/>
    <w:rsid w:val="005370CC"/>
    <w:rsid w:val="00540F3A"/>
    <w:rsid w:val="005412DF"/>
    <w:rsid w:val="005431DF"/>
    <w:rsid w:val="00543276"/>
    <w:rsid w:val="005433C5"/>
    <w:rsid w:val="005447C1"/>
    <w:rsid w:val="00544E78"/>
    <w:rsid w:val="00545F56"/>
    <w:rsid w:val="00547141"/>
    <w:rsid w:val="005500A0"/>
    <w:rsid w:val="00550E9A"/>
    <w:rsid w:val="00551364"/>
    <w:rsid w:val="00553220"/>
    <w:rsid w:val="0055345C"/>
    <w:rsid w:val="005549CD"/>
    <w:rsid w:val="00555B85"/>
    <w:rsid w:val="00557160"/>
    <w:rsid w:val="00557418"/>
    <w:rsid w:val="0055760D"/>
    <w:rsid w:val="00557723"/>
    <w:rsid w:val="0056362C"/>
    <w:rsid w:val="00563A8C"/>
    <w:rsid w:val="00563CBC"/>
    <w:rsid w:val="00570F5C"/>
    <w:rsid w:val="005713E3"/>
    <w:rsid w:val="00571840"/>
    <w:rsid w:val="00571B79"/>
    <w:rsid w:val="00571D4A"/>
    <w:rsid w:val="0057371C"/>
    <w:rsid w:val="0057398F"/>
    <w:rsid w:val="00573C2F"/>
    <w:rsid w:val="00574ACB"/>
    <w:rsid w:val="005756D4"/>
    <w:rsid w:val="00576780"/>
    <w:rsid w:val="00577F13"/>
    <w:rsid w:val="0058033F"/>
    <w:rsid w:val="00581CDC"/>
    <w:rsid w:val="00583284"/>
    <w:rsid w:val="00583B78"/>
    <w:rsid w:val="00585BD7"/>
    <w:rsid w:val="00585FEC"/>
    <w:rsid w:val="00587F26"/>
    <w:rsid w:val="0059025E"/>
    <w:rsid w:val="005910AA"/>
    <w:rsid w:val="005924B6"/>
    <w:rsid w:val="00592CFF"/>
    <w:rsid w:val="00597735"/>
    <w:rsid w:val="005A0351"/>
    <w:rsid w:val="005A0E1B"/>
    <w:rsid w:val="005A1930"/>
    <w:rsid w:val="005A2426"/>
    <w:rsid w:val="005A27DF"/>
    <w:rsid w:val="005A32FC"/>
    <w:rsid w:val="005A3B5B"/>
    <w:rsid w:val="005A4ACC"/>
    <w:rsid w:val="005A699D"/>
    <w:rsid w:val="005A6B99"/>
    <w:rsid w:val="005A7273"/>
    <w:rsid w:val="005A72C3"/>
    <w:rsid w:val="005A753D"/>
    <w:rsid w:val="005B02FD"/>
    <w:rsid w:val="005B1EB6"/>
    <w:rsid w:val="005B4404"/>
    <w:rsid w:val="005B616E"/>
    <w:rsid w:val="005B656B"/>
    <w:rsid w:val="005B71E9"/>
    <w:rsid w:val="005B76FA"/>
    <w:rsid w:val="005C24C4"/>
    <w:rsid w:val="005C3A30"/>
    <w:rsid w:val="005C3E1B"/>
    <w:rsid w:val="005C5235"/>
    <w:rsid w:val="005C5F0D"/>
    <w:rsid w:val="005C7196"/>
    <w:rsid w:val="005D19FC"/>
    <w:rsid w:val="005D3A22"/>
    <w:rsid w:val="005D3A3C"/>
    <w:rsid w:val="005D5CE2"/>
    <w:rsid w:val="005D6B2F"/>
    <w:rsid w:val="005E20D6"/>
    <w:rsid w:val="005E40B2"/>
    <w:rsid w:val="005E4A88"/>
    <w:rsid w:val="005E5424"/>
    <w:rsid w:val="005E6057"/>
    <w:rsid w:val="005F00F3"/>
    <w:rsid w:val="005F0509"/>
    <w:rsid w:val="005F17C7"/>
    <w:rsid w:val="005F1991"/>
    <w:rsid w:val="005F19E6"/>
    <w:rsid w:val="005F491C"/>
    <w:rsid w:val="005F5F45"/>
    <w:rsid w:val="005F6326"/>
    <w:rsid w:val="005F63F6"/>
    <w:rsid w:val="005F6786"/>
    <w:rsid w:val="005F74D0"/>
    <w:rsid w:val="00600684"/>
    <w:rsid w:val="00602E2B"/>
    <w:rsid w:val="00602E88"/>
    <w:rsid w:val="0060318F"/>
    <w:rsid w:val="00604BDB"/>
    <w:rsid w:val="00604E39"/>
    <w:rsid w:val="00605CAE"/>
    <w:rsid w:val="006066A9"/>
    <w:rsid w:val="0060758F"/>
    <w:rsid w:val="00610C40"/>
    <w:rsid w:val="00611091"/>
    <w:rsid w:val="00611284"/>
    <w:rsid w:val="00612A24"/>
    <w:rsid w:val="006134B9"/>
    <w:rsid w:val="00615DDD"/>
    <w:rsid w:val="00620144"/>
    <w:rsid w:val="006216C6"/>
    <w:rsid w:val="00623883"/>
    <w:rsid w:val="00623ABE"/>
    <w:rsid w:val="00623EE6"/>
    <w:rsid w:val="0062431C"/>
    <w:rsid w:val="006263D3"/>
    <w:rsid w:val="006308FF"/>
    <w:rsid w:val="0063181C"/>
    <w:rsid w:val="00631D04"/>
    <w:rsid w:val="0063382B"/>
    <w:rsid w:val="0063466C"/>
    <w:rsid w:val="00634F0B"/>
    <w:rsid w:val="006350ED"/>
    <w:rsid w:val="006359E4"/>
    <w:rsid w:val="00636208"/>
    <w:rsid w:val="0063726D"/>
    <w:rsid w:val="00640342"/>
    <w:rsid w:val="00640794"/>
    <w:rsid w:val="00642240"/>
    <w:rsid w:val="006423C3"/>
    <w:rsid w:val="00642992"/>
    <w:rsid w:val="00642A28"/>
    <w:rsid w:val="0064378F"/>
    <w:rsid w:val="0064429E"/>
    <w:rsid w:val="00644958"/>
    <w:rsid w:val="00645D12"/>
    <w:rsid w:val="0065287F"/>
    <w:rsid w:val="00652AA6"/>
    <w:rsid w:val="006558E2"/>
    <w:rsid w:val="00657298"/>
    <w:rsid w:val="006613E8"/>
    <w:rsid w:val="00661D1F"/>
    <w:rsid w:val="00661FC9"/>
    <w:rsid w:val="006649CB"/>
    <w:rsid w:val="00667568"/>
    <w:rsid w:val="00670A63"/>
    <w:rsid w:val="00673EC8"/>
    <w:rsid w:val="0067494E"/>
    <w:rsid w:val="00675183"/>
    <w:rsid w:val="006756A6"/>
    <w:rsid w:val="00677357"/>
    <w:rsid w:val="006827D8"/>
    <w:rsid w:val="006835C5"/>
    <w:rsid w:val="006858EB"/>
    <w:rsid w:val="00686186"/>
    <w:rsid w:val="00687184"/>
    <w:rsid w:val="006872A2"/>
    <w:rsid w:val="00691CEA"/>
    <w:rsid w:val="006929A1"/>
    <w:rsid w:val="00692E7D"/>
    <w:rsid w:val="0069316C"/>
    <w:rsid w:val="00694CC6"/>
    <w:rsid w:val="00695433"/>
    <w:rsid w:val="00695444"/>
    <w:rsid w:val="006977B9"/>
    <w:rsid w:val="006A10E0"/>
    <w:rsid w:val="006A1E17"/>
    <w:rsid w:val="006A3976"/>
    <w:rsid w:val="006A55B1"/>
    <w:rsid w:val="006A5E0F"/>
    <w:rsid w:val="006A6BDD"/>
    <w:rsid w:val="006A7066"/>
    <w:rsid w:val="006A7757"/>
    <w:rsid w:val="006A7C59"/>
    <w:rsid w:val="006B20DD"/>
    <w:rsid w:val="006B2CC2"/>
    <w:rsid w:val="006B40D2"/>
    <w:rsid w:val="006B5199"/>
    <w:rsid w:val="006B6C76"/>
    <w:rsid w:val="006B6CCA"/>
    <w:rsid w:val="006C1F8C"/>
    <w:rsid w:val="006C2F48"/>
    <w:rsid w:val="006C5091"/>
    <w:rsid w:val="006C52DD"/>
    <w:rsid w:val="006C746E"/>
    <w:rsid w:val="006C7D47"/>
    <w:rsid w:val="006C7F87"/>
    <w:rsid w:val="006D059E"/>
    <w:rsid w:val="006D0D24"/>
    <w:rsid w:val="006D0F1F"/>
    <w:rsid w:val="006D1D06"/>
    <w:rsid w:val="006D2771"/>
    <w:rsid w:val="006D31C4"/>
    <w:rsid w:val="006D3803"/>
    <w:rsid w:val="006D47E9"/>
    <w:rsid w:val="006D4B52"/>
    <w:rsid w:val="006D55A8"/>
    <w:rsid w:val="006D6389"/>
    <w:rsid w:val="006E0540"/>
    <w:rsid w:val="006E0A81"/>
    <w:rsid w:val="006E10E5"/>
    <w:rsid w:val="006E177B"/>
    <w:rsid w:val="006E1CC6"/>
    <w:rsid w:val="006E2738"/>
    <w:rsid w:val="006E2D2F"/>
    <w:rsid w:val="006E39C2"/>
    <w:rsid w:val="006E4842"/>
    <w:rsid w:val="006E4E6E"/>
    <w:rsid w:val="006E5885"/>
    <w:rsid w:val="006E6CF7"/>
    <w:rsid w:val="006F19C2"/>
    <w:rsid w:val="006F20DF"/>
    <w:rsid w:val="006F3AED"/>
    <w:rsid w:val="006F3F32"/>
    <w:rsid w:val="006F40D6"/>
    <w:rsid w:val="006F4690"/>
    <w:rsid w:val="006F5A4D"/>
    <w:rsid w:val="006F5D20"/>
    <w:rsid w:val="00702E4E"/>
    <w:rsid w:val="00704237"/>
    <w:rsid w:val="00704639"/>
    <w:rsid w:val="00706ADF"/>
    <w:rsid w:val="0070730E"/>
    <w:rsid w:val="00707C13"/>
    <w:rsid w:val="007128E4"/>
    <w:rsid w:val="007133D1"/>
    <w:rsid w:val="00713553"/>
    <w:rsid w:val="00714F39"/>
    <w:rsid w:val="007152AD"/>
    <w:rsid w:val="00715B5B"/>
    <w:rsid w:val="00715FD6"/>
    <w:rsid w:val="00717155"/>
    <w:rsid w:val="00717453"/>
    <w:rsid w:val="007178A0"/>
    <w:rsid w:val="007215E6"/>
    <w:rsid w:val="00721CEF"/>
    <w:rsid w:val="00722EA4"/>
    <w:rsid w:val="00723AFD"/>
    <w:rsid w:val="00725A9E"/>
    <w:rsid w:val="007301A7"/>
    <w:rsid w:val="0073123B"/>
    <w:rsid w:val="00731A24"/>
    <w:rsid w:val="00733137"/>
    <w:rsid w:val="00733A6F"/>
    <w:rsid w:val="00734D09"/>
    <w:rsid w:val="00734EC9"/>
    <w:rsid w:val="00735298"/>
    <w:rsid w:val="00736859"/>
    <w:rsid w:val="00737066"/>
    <w:rsid w:val="007371A5"/>
    <w:rsid w:val="0074157D"/>
    <w:rsid w:val="00741A8F"/>
    <w:rsid w:val="00741D62"/>
    <w:rsid w:val="0074227E"/>
    <w:rsid w:val="00743B63"/>
    <w:rsid w:val="00743F26"/>
    <w:rsid w:val="0074525A"/>
    <w:rsid w:val="00745CC1"/>
    <w:rsid w:val="00745FA1"/>
    <w:rsid w:val="007466FA"/>
    <w:rsid w:val="00746997"/>
    <w:rsid w:val="00746AED"/>
    <w:rsid w:val="0074784C"/>
    <w:rsid w:val="00747D71"/>
    <w:rsid w:val="0075130C"/>
    <w:rsid w:val="007516BD"/>
    <w:rsid w:val="00754460"/>
    <w:rsid w:val="00755D01"/>
    <w:rsid w:val="00756063"/>
    <w:rsid w:val="00756E35"/>
    <w:rsid w:val="007642B6"/>
    <w:rsid w:val="007656B0"/>
    <w:rsid w:val="00767255"/>
    <w:rsid w:val="00772084"/>
    <w:rsid w:val="007727AD"/>
    <w:rsid w:val="007730D3"/>
    <w:rsid w:val="0077312E"/>
    <w:rsid w:val="00773331"/>
    <w:rsid w:val="0078133F"/>
    <w:rsid w:val="007828C1"/>
    <w:rsid w:val="00784E20"/>
    <w:rsid w:val="00785293"/>
    <w:rsid w:val="007861B3"/>
    <w:rsid w:val="00786F01"/>
    <w:rsid w:val="00787171"/>
    <w:rsid w:val="00790FA2"/>
    <w:rsid w:val="007914E9"/>
    <w:rsid w:val="007932EF"/>
    <w:rsid w:val="00793C9C"/>
    <w:rsid w:val="00794613"/>
    <w:rsid w:val="0079494B"/>
    <w:rsid w:val="0079497B"/>
    <w:rsid w:val="0079675B"/>
    <w:rsid w:val="007A1120"/>
    <w:rsid w:val="007A136C"/>
    <w:rsid w:val="007A1F5D"/>
    <w:rsid w:val="007A3BC2"/>
    <w:rsid w:val="007A5FE1"/>
    <w:rsid w:val="007A6B52"/>
    <w:rsid w:val="007B020C"/>
    <w:rsid w:val="007B13B9"/>
    <w:rsid w:val="007B1436"/>
    <w:rsid w:val="007B2A53"/>
    <w:rsid w:val="007B30AD"/>
    <w:rsid w:val="007B3427"/>
    <w:rsid w:val="007B3434"/>
    <w:rsid w:val="007B433C"/>
    <w:rsid w:val="007B4D89"/>
    <w:rsid w:val="007B4EEB"/>
    <w:rsid w:val="007B5C77"/>
    <w:rsid w:val="007B71BD"/>
    <w:rsid w:val="007B73FD"/>
    <w:rsid w:val="007B7660"/>
    <w:rsid w:val="007C1084"/>
    <w:rsid w:val="007C2EAE"/>
    <w:rsid w:val="007C456C"/>
    <w:rsid w:val="007C4B7B"/>
    <w:rsid w:val="007C593B"/>
    <w:rsid w:val="007C5FF4"/>
    <w:rsid w:val="007C61C2"/>
    <w:rsid w:val="007C6D5B"/>
    <w:rsid w:val="007C6E35"/>
    <w:rsid w:val="007C6E74"/>
    <w:rsid w:val="007C77BB"/>
    <w:rsid w:val="007C7969"/>
    <w:rsid w:val="007D1565"/>
    <w:rsid w:val="007D52C0"/>
    <w:rsid w:val="007D624F"/>
    <w:rsid w:val="007D6268"/>
    <w:rsid w:val="007D7094"/>
    <w:rsid w:val="007D77A3"/>
    <w:rsid w:val="007E05B0"/>
    <w:rsid w:val="007E098D"/>
    <w:rsid w:val="007E0C0B"/>
    <w:rsid w:val="007E1579"/>
    <w:rsid w:val="007E25C5"/>
    <w:rsid w:val="007E50C5"/>
    <w:rsid w:val="007E57E8"/>
    <w:rsid w:val="007E687F"/>
    <w:rsid w:val="007E6EAF"/>
    <w:rsid w:val="007F0364"/>
    <w:rsid w:val="007F1E72"/>
    <w:rsid w:val="007F28A6"/>
    <w:rsid w:val="007F2AB1"/>
    <w:rsid w:val="007F366D"/>
    <w:rsid w:val="007F44A2"/>
    <w:rsid w:val="007F70A8"/>
    <w:rsid w:val="008000A6"/>
    <w:rsid w:val="00802A33"/>
    <w:rsid w:val="00802A36"/>
    <w:rsid w:val="00802BA5"/>
    <w:rsid w:val="00802ED3"/>
    <w:rsid w:val="00804731"/>
    <w:rsid w:val="0080569C"/>
    <w:rsid w:val="00807DF1"/>
    <w:rsid w:val="00810FAE"/>
    <w:rsid w:val="00811345"/>
    <w:rsid w:val="00811651"/>
    <w:rsid w:val="00811698"/>
    <w:rsid w:val="00812778"/>
    <w:rsid w:val="00812C7A"/>
    <w:rsid w:val="00813F39"/>
    <w:rsid w:val="00814399"/>
    <w:rsid w:val="0081643A"/>
    <w:rsid w:val="00816A97"/>
    <w:rsid w:val="00817585"/>
    <w:rsid w:val="00820DCA"/>
    <w:rsid w:val="00822A4D"/>
    <w:rsid w:val="00823EA1"/>
    <w:rsid w:val="008241FF"/>
    <w:rsid w:val="0082482F"/>
    <w:rsid w:val="00825B25"/>
    <w:rsid w:val="00827933"/>
    <w:rsid w:val="00832765"/>
    <w:rsid w:val="0083506F"/>
    <w:rsid w:val="0083560A"/>
    <w:rsid w:val="008356E3"/>
    <w:rsid w:val="00835E98"/>
    <w:rsid w:val="00837013"/>
    <w:rsid w:val="00837BB1"/>
    <w:rsid w:val="00837F32"/>
    <w:rsid w:val="00843C73"/>
    <w:rsid w:val="008453C6"/>
    <w:rsid w:val="00845487"/>
    <w:rsid w:val="008455CB"/>
    <w:rsid w:val="00845B88"/>
    <w:rsid w:val="00845EC0"/>
    <w:rsid w:val="0084655F"/>
    <w:rsid w:val="008468FC"/>
    <w:rsid w:val="008524BF"/>
    <w:rsid w:val="00853D43"/>
    <w:rsid w:val="00854D24"/>
    <w:rsid w:val="00855B41"/>
    <w:rsid w:val="00855FB8"/>
    <w:rsid w:val="00860841"/>
    <w:rsid w:val="00861990"/>
    <w:rsid w:val="00861DCE"/>
    <w:rsid w:val="0086385F"/>
    <w:rsid w:val="00863F9C"/>
    <w:rsid w:val="00865139"/>
    <w:rsid w:val="00867560"/>
    <w:rsid w:val="008709B0"/>
    <w:rsid w:val="00871514"/>
    <w:rsid w:val="00873985"/>
    <w:rsid w:val="008740BD"/>
    <w:rsid w:val="00874CC4"/>
    <w:rsid w:val="00874D22"/>
    <w:rsid w:val="00875596"/>
    <w:rsid w:val="00880A20"/>
    <w:rsid w:val="00880DA5"/>
    <w:rsid w:val="008811B7"/>
    <w:rsid w:val="0088141B"/>
    <w:rsid w:val="008841FC"/>
    <w:rsid w:val="00884905"/>
    <w:rsid w:val="008850A8"/>
    <w:rsid w:val="00886024"/>
    <w:rsid w:val="00886DC7"/>
    <w:rsid w:val="008879D0"/>
    <w:rsid w:val="00893427"/>
    <w:rsid w:val="00894C82"/>
    <w:rsid w:val="00895319"/>
    <w:rsid w:val="00895E21"/>
    <w:rsid w:val="008A2914"/>
    <w:rsid w:val="008A34A6"/>
    <w:rsid w:val="008A3A27"/>
    <w:rsid w:val="008A4637"/>
    <w:rsid w:val="008A4B56"/>
    <w:rsid w:val="008A67AB"/>
    <w:rsid w:val="008A6B8D"/>
    <w:rsid w:val="008B02B1"/>
    <w:rsid w:val="008B296F"/>
    <w:rsid w:val="008B321E"/>
    <w:rsid w:val="008B4191"/>
    <w:rsid w:val="008B4C7F"/>
    <w:rsid w:val="008B63A4"/>
    <w:rsid w:val="008B777C"/>
    <w:rsid w:val="008B7D46"/>
    <w:rsid w:val="008C00A7"/>
    <w:rsid w:val="008C0327"/>
    <w:rsid w:val="008C08B4"/>
    <w:rsid w:val="008C209D"/>
    <w:rsid w:val="008C21A0"/>
    <w:rsid w:val="008C2600"/>
    <w:rsid w:val="008C2676"/>
    <w:rsid w:val="008C2EE2"/>
    <w:rsid w:val="008C4791"/>
    <w:rsid w:val="008C4FFE"/>
    <w:rsid w:val="008C7FAA"/>
    <w:rsid w:val="008D0917"/>
    <w:rsid w:val="008D1036"/>
    <w:rsid w:val="008D1188"/>
    <w:rsid w:val="008D18C3"/>
    <w:rsid w:val="008D2471"/>
    <w:rsid w:val="008D383B"/>
    <w:rsid w:val="008D3B36"/>
    <w:rsid w:val="008D3C68"/>
    <w:rsid w:val="008D53F3"/>
    <w:rsid w:val="008D56E2"/>
    <w:rsid w:val="008D64C7"/>
    <w:rsid w:val="008D6DED"/>
    <w:rsid w:val="008E13E1"/>
    <w:rsid w:val="008E1A6E"/>
    <w:rsid w:val="008E2DF3"/>
    <w:rsid w:val="008E3632"/>
    <w:rsid w:val="008E3A18"/>
    <w:rsid w:val="008E4D8E"/>
    <w:rsid w:val="008E52E8"/>
    <w:rsid w:val="008E536B"/>
    <w:rsid w:val="008E6059"/>
    <w:rsid w:val="008E7115"/>
    <w:rsid w:val="008E72B1"/>
    <w:rsid w:val="008E72E6"/>
    <w:rsid w:val="008E732B"/>
    <w:rsid w:val="008E7E13"/>
    <w:rsid w:val="008F0ABE"/>
    <w:rsid w:val="008F19D8"/>
    <w:rsid w:val="008F1FB2"/>
    <w:rsid w:val="008F20CC"/>
    <w:rsid w:val="008F3002"/>
    <w:rsid w:val="008F31E6"/>
    <w:rsid w:val="008F7130"/>
    <w:rsid w:val="008F781A"/>
    <w:rsid w:val="00900985"/>
    <w:rsid w:val="00900CAE"/>
    <w:rsid w:val="00901AC4"/>
    <w:rsid w:val="00903747"/>
    <w:rsid w:val="0090466A"/>
    <w:rsid w:val="00904981"/>
    <w:rsid w:val="00904C6C"/>
    <w:rsid w:val="00904CE4"/>
    <w:rsid w:val="00904F5F"/>
    <w:rsid w:val="00905B2B"/>
    <w:rsid w:val="00906611"/>
    <w:rsid w:val="00907C74"/>
    <w:rsid w:val="00910A31"/>
    <w:rsid w:val="00912B00"/>
    <w:rsid w:val="00913133"/>
    <w:rsid w:val="00913E7F"/>
    <w:rsid w:val="009144F0"/>
    <w:rsid w:val="00916769"/>
    <w:rsid w:val="009179AC"/>
    <w:rsid w:val="0092240E"/>
    <w:rsid w:val="009224F3"/>
    <w:rsid w:val="00922DE6"/>
    <w:rsid w:val="00922EBF"/>
    <w:rsid w:val="00924CC5"/>
    <w:rsid w:val="009253ED"/>
    <w:rsid w:val="00925BC2"/>
    <w:rsid w:val="00925C46"/>
    <w:rsid w:val="0092688C"/>
    <w:rsid w:val="00926D34"/>
    <w:rsid w:val="00926D8A"/>
    <w:rsid w:val="00931BAE"/>
    <w:rsid w:val="00932B1E"/>
    <w:rsid w:val="00934666"/>
    <w:rsid w:val="00934B68"/>
    <w:rsid w:val="0093581F"/>
    <w:rsid w:val="0093595F"/>
    <w:rsid w:val="00935ACD"/>
    <w:rsid w:val="00936754"/>
    <w:rsid w:val="0093675A"/>
    <w:rsid w:val="00936E9D"/>
    <w:rsid w:val="00940181"/>
    <w:rsid w:val="00940441"/>
    <w:rsid w:val="0094068A"/>
    <w:rsid w:val="00940ABA"/>
    <w:rsid w:val="009416AA"/>
    <w:rsid w:val="00942B4A"/>
    <w:rsid w:val="00942C3B"/>
    <w:rsid w:val="00942ED0"/>
    <w:rsid w:val="00943752"/>
    <w:rsid w:val="009449DE"/>
    <w:rsid w:val="00944CFD"/>
    <w:rsid w:val="00945022"/>
    <w:rsid w:val="00945E4E"/>
    <w:rsid w:val="00952DE4"/>
    <w:rsid w:val="00962E25"/>
    <w:rsid w:val="00965588"/>
    <w:rsid w:val="00965AE3"/>
    <w:rsid w:val="009668AF"/>
    <w:rsid w:val="00966C9D"/>
    <w:rsid w:val="009715F9"/>
    <w:rsid w:val="0097330F"/>
    <w:rsid w:val="009735F1"/>
    <w:rsid w:val="0097493C"/>
    <w:rsid w:val="00976581"/>
    <w:rsid w:val="00977655"/>
    <w:rsid w:val="00977A98"/>
    <w:rsid w:val="00983693"/>
    <w:rsid w:val="00983ECD"/>
    <w:rsid w:val="00984670"/>
    <w:rsid w:val="009853E2"/>
    <w:rsid w:val="0098787A"/>
    <w:rsid w:val="00990AD3"/>
    <w:rsid w:val="00990BE3"/>
    <w:rsid w:val="00991458"/>
    <w:rsid w:val="0099452F"/>
    <w:rsid w:val="00994C31"/>
    <w:rsid w:val="00996F14"/>
    <w:rsid w:val="009A0CAD"/>
    <w:rsid w:val="009A2097"/>
    <w:rsid w:val="009A20AE"/>
    <w:rsid w:val="009A300B"/>
    <w:rsid w:val="009A555E"/>
    <w:rsid w:val="009A5D40"/>
    <w:rsid w:val="009A6081"/>
    <w:rsid w:val="009A680E"/>
    <w:rsid w:val="009B0967"/>
    <w:rsid w:val="009B1551"/>
    <w:rsid w:val="009B40B2"/>
    <w:rsid w:val="009B4712"/>
    <w:rsid w:val="009B65B4"/>
    <w:rsid w:val="009B6C22"/>
    <w:rsid w:val="009B6FA2"/>
    <w:rsid w:val="009C0353"/>
    <w:rsid w:val="009C089C"/>
    <w:rsid w:val="009C10F6"/>
    <w:rsid w:val="009C1145"/>
    <w:rsid w:val="009C1A5A"/>
    <w:rsid w:val="009C2D67"/>
    <w:rsid w:val="009C4CDB"/>
    <w:rsid w:val="009C6AA8"/>
    <w:rsid w:val="009C7A79"/>
    <w:rsid w:val="009D250A"/>
    <w:rsid w:val="009D28B8"/>
    <w:rsid w:val="009D2997"/>
    <w:rsid w:val="009D2C64"/>
    <w:rsid w:val="009D46E9"/>
    <w:rsid w:val="009D52F8"/>
    <w:rsid w:val="009D54F2"/>
    <w:rsid w:val="009D5AEF"/>
    <w:rsid w:val="009E05C0"/>
    <w:rsid w:val="009E08C1"/>
    <w:rsid w:val="009E0B1F"/>
    <w:rsid w:val="009E0DD1"/>
    <w:rsid w:val="009E26EF"/>
    <w:rsid w:val="009E354A"/>
    <w:rsid w:val="009E4A12"/>
    <w:rsid w:val="009E4DA8"/>
    <w:rsid w:val="009E53C0"/>
    <w:rsid w:val="009E7CD6"/>
    <w:rsid w:val="009E7D4A"/>
    <w:rsid w:val="009F10DC"/>
    <w:rsid w:val="009F2907"/>
    <w:rsid w:val="009F433B"/>
    <w:rsid w:val="009F52F4"/>
    <w:rsid w:val="009F6089"/>
    <w:rsid w:val="009F6183"/>
    <w:rsid w:val="00A00974"/>
    <w:rsid w:val="00A012DB"/>
    <w:rsid w:val="00A02DDF"/>
    <w:rsid w:val="00A05708"/>
    <w:rsid w:val="00A060FE"/>
    <w:rsid w:val="00A06660"/>
    <w:rsid w:val="00A06AF3"/>
    <w:rsid w:val="00A079C5"/>
    <w:rsid w:val="00A07B18"/>
    <w:rsid w:val="00A10F69"/>
    <w:rsid w:val="00A114CA"/>
    <w:rsid w:val="00A11866"/>
    <w:rsid w:val="00A11962"/>
    <w:rsid w:val="00A11A24"/>
    <w:rsid w:val="00A128B6"/>
    <w:rsid w:val="00A147FF"/>
    <w:rsid w:val="00A15A0A"/>
    <w:rsid w:val="00A15B45"/>
    <w:rsid w:val="00A17DF3"/>
    <w:rsid w:val="00A248F9"/>
    <w:rsid w:val="00A25630"/>
    <w:rsid w:val="00A262DC"/>
    <w:rsid w:val="00A30178"/>
    <w:rsid w:val="00A30600"/>
    <w:rsid w:val="00A30C5A"/>
    <w:rsid w:val="00A31A60"/>
    <w:rsid w:val="00A31A9D"/>
    <w:rsid w:val="00A34B71"/>
    <w:rsid w:val="00A3550E"/>
    <w:rsid w:val="00A35711"/>
    <w:rsid w:val="00A36F5F"/>
    <w:rsid w:val="00A37905"/>
    <w:rsid w:val="00A3793C"/>
    <w:rsid w:val="00A40EC9"/>
    <w:rsid w:val="00A427AE"/>
    <w:rsid w:val="00A42B5F"/>
    <w:rsid w:val="00A44F76"/>
    <w:rsid w:val="00A45203"/>
    <w:rsid w:val="00A462AA"/>
    <w:rsid w:val="00A50270"/>
    <w:rsid w:val="00A51639"/>
    <w:rsid w:val="00A5183C"/>
    <w:rsid w:val="00A51CD1"/>
    <w:rsid w:val="00A53D73"/>
    <w:rsid w:val="00A53DB0"/>
    <w:rsid w:val="00A55447"/>
    <w:rsid w:val="00A56AE4"/>
    <w:rsid w:val="00A57C4F"/>
    <w:rsid w:val="00A61532"/>
    <w:rsid w:val="00A61AA3"/>
    <w:rsid w:val="00A620E6"/>
    <w:rsid w:val="00A62C05"/>
    <w:rsid w:val="00A639EC"/>
    <w:rsid w:val="00A658C9"/>
    <w:rsid w:val="00A65B7E"/>
    <w:rsid w:val="00A65D61"/>
    <w:rsid w:val="00A6607D"/>
    <w:rsid w:val="00A66193"/>
    <w:rsid w:val="00A67601"/>
    <w:rsid w:val="00A67FB0"/>
    <w:rsid w:val="00A7003E"/>
    <w:rsid w:val="00A70286"/>
    <w:rsid w:val="00A718DA"/>
    <w:rsid w:val="00A71B9A"/>
    <w:rsid w:val="00A722D5"/>
    <w:rsid w:val="00A7336F"/>
    <w:rsid w:val="00A737A6"/>
    <w:rsid w:val="00A74697"/>
    <w:rsid w:val="00A77983"/>
    <w:rsid w:val="00A829DC"/>
    <w:rsid w:val="00A82F83"/>
    <w:rsid w:val="00A82FCB"/>
    <w:rsid w:val="00A84534"/>
    <w:rsid w:val="00A85C5A"/>
    <w:rsid w:val="00A866B7"/>
    <w:rsid w:val="00A8731F"/>
    <w:rsid w:val="00A87AE2"/>
    <w:rsid w:val="00A90166"/>
    <w:rsid w:val="00A90D3C"/>
    <w:rsid w:val="00A92320"/>
    <w:rsid w:val="00A9257D"/>
    <w:rsid w:val="00A92930"/>
    <w:rsid w:val="00A92FC4"/>
    <w:rsid w:val="00A933E6"/>
    <w:rsid w:val="00A94DB7"/>
    <w:rsid w:val="00A957BF"/>
    <w:rsid w:val="00A95895"/>
    <w:rsid w:val="00A95E9D"/>
    <w:rsid w:val="00A9680D"/>
    <w:rsid w:val="00A96E4B"/>
    <w:rsid w:val="00A9751B"/>
    <w:rsid w:val="00AA3588"/>
    <w:rsid w:val="00AA41A4"/>
    <w:rsid w:val="00AA4BEE"/>
    <w:rsid w:val="00AA5F76"/>
    <w:rsid w:val="00AA6233"/>
    <w:rsid w:val="00AA6E1D"/>
    <w:rsid w:val="00AB0F2C"/>
    <w:rsid w:val="00AB132F"/>
    <w:rsid w:val="00AB138D"/>
    <w:rsid w:val="00AB1B46"/>
    <w:rsid w:val="00AB1C5C"/>
    <w:rsid w:val="00AB1D4C"/>
    <w:rsid w:val="00AB4C85"/>
    <w:rsid w:val="00AC259E"/>
    <w:rsid w:val="00AC5AE5"/>
    <w:rsid w:val="00AC7182"/>
    <w:rsid w:val="00AC7306"/>
    <w:rsid w:val="00AD36C2"/>
    <w:rsid w:val="00AD5B97"/>
    <w:rsid w:val="00AD5E0F"/>
    <w:rsid w:val="00AD64AD"/>
    <w:rsid w:val="00AD76B3"/>
    <w:rsid w:val="00AD7CCF"/>
    <w:rsid w:val="00AE0A37"/>
    <w:rsid w:val="00AE0C15"/>
    <w:rsid w:val="00AE1132"/>
    <w:rsid w:val="00AE1834"/>
    <w:rsid w:val="00AE1A0D"/>
    <w:rsid w:val="00AE1A77"/>
    <w:rsid w:val="00AE2292"/>
    <w:rsid w:val="00AE23DB"/>
    <w:rsid w:val="00AE4033"/>
    <w:rsid w:val="00AE44DE"/>
    <w:rsid w:val="00AE50CB"/>
    <w:rsid w:val="00AE59CE"/>
    <w:rsid w:val="00AE5E8C"/>
    <w:rsid w:val="00AF019D"/>
    <w:rsid w:val="00AF01ED"/>
    <w:rsid w:val="00AF150D"/>
    <w:rsid w:val="00AF3DF5"/>
    <w:rsid w:val="00AF4474"/>
    <w:rsid w:val="00AF4EAD"/>
    <w:rsid w:val="00AF594C"/>
    <w:rsid w:val="00AF7735"/>
    <w:rsid w:val="00B03C8F"/>
    <w:rsid w:val="00B040B8"/>
    <w:rsid w:val="00B056A8"/>
    <w:rsid w:val="00B05D0C"/>
    <w:rsid w:val="00B07DBB"/>
    <w:rsid w:val="00B106D5"/>
    <w:rsid w:val="00B10B56"/>
    <w:rsid w:val="00B116D7"/>
    <w:rsid w:val="00B1232C"/>
    <w:rsid w:val="00B12ACA"/>
    <w:rsid w:val="00B13113"/>
    <w:rsid w:val="00B17BDC"/>
    <w:rsid w:val="00B20278"/>
    <w:rsid w:val="00B20A53"/>
    <w:rsid w:val="00B21110"/>
    <w:rsid w:val="00B222D4"/>
    <w:rsid w:val="00B23152"/>
    <w:rsid w:val="00B23FB7"/>
    <w:rsid w:val="00B24620"/>
    <w:rsid w:val="00B2532E"/>
    <w:rsid w:val="00B2561A"/>
    <w:rsid w:val="00B26ACA"/>
    <w:rsid w:val="00B27771"/>
    <w:rsid w:val="00B27BB2"/>
    <w:rsid w:val="00B30647"/>
    <w:rsid w:val="00B31215"/>
    <w:rsid w:val="00B319F8"/>
    <w:rsid w:val="00B32361"/>
    <w:rsid w:val="00B32998"/>
    <w:rsid w:val="00B342D1"/>
    <w:rsid w:val="00B3506B"/>
    <w:rsid w:val="00B3561A"/>
    <w:rsid w:val="00B36088"/>
    <w:rsid w:val="00B416CA"/>
    <w:rsid w:val="00B433D3"/>
    <w:rsid w:val="00B436CC"/>
    <w:rsid w:val="00B4581A"/>
    <w:rsid w:val="00B513C6"/>
    <w:rsid w:val="00B52CFF"/>
    <w:rsid w:val="00B53217"/>
    <w:rsid w:val="00B545FA"/>
    <w:rsid w:val="00B54773"/>
    <w:rsid w:val="00B570FB"/>
    <w:rsid w:val="00B60AB0"/>
    <w:rsid w:val="00B613BC"/>
    <w:rsid w:val="00B61F2B"/>
    <w:rsid w:val="00B62B52"/>
    <w:rsid w:val="00B63F3A"/>
    <w:rsid w:val="00B642C2"/>
    <w:rsid w:val="00B645C4"/>
    <w:rsid w:val="00B71A85"/>
    <w:rsid w:val="00B72063"/>
    <w:rsid w:val="00B72FBE"/>
    <w:rsid w:val="00B73EA3"/>
    <w:rsid w:val="00B74C91"/>
    <w:rsid w:val="00B74DE3"/>
    <w:rsid w:val="00B75FF1"/>
    <w:rsid w:val="00B7670F"/>
    <w:rsid w:val="00B81E75"/>
    <w:rsid w:val="00B84DDE"/>
    <w:rsid w:val="00B8576D"/>
    <w:rsid w:val="00B86042"/>
    <w:rsid w:val="00B901BC"/>
    <w:rsid w:val="00B90EDD"/>
    <w:rsid w:val="00B932D9"/>
    <w:rsid w:val="00B94DEC"/>
    <w:rsid w:val="00BA0A9C"/>
    <w:rsid w:val="00BA13F5"/>
    <w:rsid w:val="00BA1468"/>
    <w:rsid w:val="00BA20DE"/>
    <w:rsid w:val="00BA2DA1"/>
    <w:rsid w:val="00BA4AB2"/>
    <w:rsid w:val="00BA5DE4"/>
    <w:rsid w:val="00BA6036"/>
    <w:rsid w:val="00BA76ED"/>
    <w:rsid w:val="00BB1ACA"/>
    <w:rsid w:val="00BB1CDB"/>
    <w:rsid w:val="00BB2B5A"/>
    <w:rsid w:val="00BB3340"/>
    <w:rsid w:val="00BB4247"/>
    <w:rsid w:val="00BB5587"/>
    <w:rsid w:val="00BB67B0"/>
    <w:rsid w:val="00BB78C3"/>
    <w:rsid w:val="00BB79D3"/>
    <w:rsid w:val="00BC0D45"/>
    <w:rsid w:val="00BC2798"/>
    <w:rsid w:val="00BC2F6B"/>
    <w:rsid w:val="00BC32A2"/>
    <w:rsid w:val="00BC403E"/>
    <w:rsid w:val="00BD0E3E"/>
    <w:rsid w:val="00BD18D6"/>
    <w:rsid w:val="00BD1F70"/>
    <w:rsid w:val="00BD28D1"/>
    <w:rsid w:val="00BD2BBF"/>
    <w:rsid w:val="00BD45E0"/>
    <w:rsid w:val="00BD590B"/>
    <w:rsid w:val="00BD617C"/>
    <w:rsid w:val="00BD79B0"/>
    <w:rsid w:val="00BE09CF"/>
    <w:rsid w:val="00BE1F00"/>
    <w:rsid w:val="00BE25DF"/>
    <w:rsid w:val="00BE2F1D"/>
    <w:rsid w:val="00BE3D2A"/>
    <w:rsid w:val="00BE3EF5"/>
    <w:rsid w:val="00BE4BEA"/>
    <w:rsid w:val="00BE518B"/>
    <w:rsid w:val="00BE63E4"/>
    <w:rsid w:val="00BF07EC"/>
    <w:rsid w:val="00BF138D"/>
    <w:rsid w:val="00BF15B2"/>
    <w:rsid w:val="00BF2877"/>
    <w:rsid w:val="00BF28CA"/>
    <w:rsid w:val="00BF42A6"/>
    <w:rsid w:val="00BF6B04"/>
    <w:rsid w:val="00BF6D2C"/>
    <w:rsid w:val="00C009EA"/>
    <w:rsid w:val="00C02337"/>
    <w:rsid w:val="00C0343F"/>
    <w:rsid w:val="00C03561"/>
    <w:rsid w:val="00C04001"/>
    <w:rsid w:val="00C047AB"/>
    <w:rsid w:val="00C06B6F"/>
    <w:rsid w:val="00C06C1C"/>
    <w:rsid w:val="00C074B2"/>
    <w:rsid w:val="00C07F8C"/>
    <w:rsid w:val="00C1068E"/>
    <w:rsid w:val="00C10853"/>
    <w:rsid w:val="00C111D1"/>
    <w:rsid w:val="00C12301"/>
    <w:rsid w:val="00C15ADE"/>
    <w:rsid w:val="00C16364"/>
    <w:rsid w:val="00C17030"/>
    <w:rsid w:val="00C21DA0"/>
    <w:rsid w:val="00C22DFA"/>
    <w:rsid w:val="00C2488C"/>
    <w:rsid w:val="00C26CE7"/>
    <w:rsid w:val="00C279D1"/>
    <w:rsid w:val="00C310E3"/>
    <w:rsid w:val="00C311AA"/>
    <w:rsid w:val="00C32EA8"/>
    <w:rsid w:val="00C33710"/>
    <w:rsid w:val="00C354B8"/>
    <w:rsid w:val="00C3621A"/>
    <w:rsid w:val="00C36DB4"/>
    <w:rsid w:val="00C37F8F"/>
    <w:rsid w:val="00C4018D"/>
    <w:rsid w:val="00C45BF3"/>
    <w:rsid w:val="00C475D1"/>
    <w:rsid w:val="00C47AF8"/>
    <w:rsid w:val="00C47C4F"/>
    <w:rsid w:val="00C505B7"/>
    <w:rsid w:val="00C50AE5"/>
    <w:rsid w:val="00C50FC3"/>
    <w:rsid w:val="00C51BEA"/>
    <w:rsid w:val="00C520F8"/>
    <w:rsid w:val="00C52409"/>
    <w:rsid w:val="00C5316B"/>
    <w:rsid w:val="00C53C16"/>
    <w:rsid w:val="00C55580"/>
    <w:rsid w:val="00C56108"/>
    <w:rsid w:val="00C5647F"/>
    <w:rsid w:val="00C56E60"/>
    <w:rsid w:val="00C57DAC"/>
    <w:rsid w:val="00C62FF8"/>
    <w:rsid w:val="00C63091"/>
    <w:rsid w:val="00C641C6"/>
    <w:rsid w:val="00C641E9"/>
    <w:rsid w:val="00C64249"/>
    <w:rsid w:val="00C65308"/>
    <w:rsid w:val="00C65C94"/>
    <w:rsid w:val="00C66A97"/>
    <w:rsid w:val="00C66CF4"/>
    <w:rsid w:val="00C676DF"/>
    <w:rsid w:val="00C71604"/>
    <w:rsid w:val="00C716C9"/>
    <w:rsid w:val="00C737B0"/>
    <w:rsid w:val="00C7534A"/>
    <w:rsid w:val="00C75A83"/>
    <w:rsid w:val="00C75B38"/>
    <w:rsid w:val="00C75E3F"/>
    <w:rsid w:val="00C75EE5"/>
    <w:rsid w:val="00C765A3"/>
    <w:rsid w:val="00C768BF"/>
    <w:rsid w:val="00C84B47"/>
    <w:rsid w:val="00C85A21"/>
    <w:rsid w:val="00C861EE"/>
    <w:rsid w:val="00C8722E"/>
    <w:rsid w:val="00C8775A"/>
    <w:rsid w:val="00C91BF4"/>
    <w:rsid w:val="00C91F63"/>
    <w:rsid w:val="00C930FA"/>
    <w:rsid w:val="00C93458"/>
    <w:rsid w:val="00C94341"/>
    <w:rsid w:val="00C94A7A"/>
    <w:rsid w:val="00C962CB"/>
    <w:rsid w:val="00CA13DA"/>
    <w:rsid w:val="00CA1E8C"/>
    <w:rsid w:val="00CA2B31"/>
    <w:rsid w:val="00CA3128"/>
    <w:rsid w:val="00CA46A1"/>
    <w:rsid w:val="00CA5699"/>
    <w:rsid w:val="00CA57B4"/>
    <w:rsid w:val="00CA65D4"/>
    <w:rsid w:val="00CA77B5"/>
    <w:rsid w:val="00CB30AE"/>
    <w:rsid w:val="00CB3433"/>
    <w:rsid w:val="00CB37D6"/>
    <w:rsid w:val="00CB53F8"/>
    <w:rsid w:val="00CC02FB"/>
    <w:rsid w:val="00CC1051"/>
    <w:rsid w:val="00CC3228"/>
    <w:rsid w:val="00CC3300"/>
    <w:rsid w:val="00CC49E5"/>
    <w:rsid w:val="00CC49ED"/>
    <w:rsid w:val="00CC6E8C"/>
    <w:rsid w:val="00CC773D"/>
    <w:rsid w:val="00CD1890"/>
    <w:rsid w:val="00CD3C20"/>
    <w:rsid w:val="00CD53C4"/>
    <w:rsid w:val="00CD566B"/>
    <w:rsid w:val="00CD6920"/>
    <w:rsid w:val="00CD6E25"/>
    <w:rsid w:val="00CE3CE0"/>
    <w:rsid w:val="00CE3E4C"/>
    <w:rsid w:val="00CE3F79"/>
    <w:rsid w:val="00CE40BA"/>
    <w:rsid w:val="00CE5FA1"/>
    <w:rsid w:val="00CF692D"/>
    <w:rsid w:val="00D0003C"/>
    <w:rsid w:val="00D0062D"/>
    <w:rsid w:val="00D01587"/>
    <w:rsid w:val="00D03258"/>
    <w:rsid w:val="00D05085"/>
    <w:rsid w:val="00D051E3"/>
    <w:rsid w:val="00D078FE"/>
    <w:rsid w:val="00D07D77"/>
    <w:rsid w:val="00D1123F"/>
    <w:rsid w:val="00D13127"/>
    <w:rsid w:val="00D13E6D"/>
    <w:rsid w:val="00D13EF8"/>
    <w:rsid w:val="00D15334"/>
    <w:rsid w:val="00D16DA6"/>
    <w:rsid w:val="00D16E3A"/>
    <w:rsid w:val="00D178AE"/>
    <w:rsid w:val="00D1796E"/>
    <w:rsid w:val="00D20381"/>
    <w:rsid w:val="00D204AE"/>
    <w:rsid w:val="00D3050B"/>
    <w:rsid w:val="00D30545"/>
    <w:rsid w:val="00D35DA8"/>
    <w:rsid w:val="00D36B14"/>
    <w:rsid w:val="00D36DC2"/>
    <w:rsid w:val="00D3701C"/>
    <w:rsid w:val="00D41044"/>
    <w:rsid w:val="00D41057"/>
    <w:rsid w:val="00D4127B"/>
    <w:rsid w:val="00D418DC"/>
    <w:rsid w:val="00D42C0D"/>
    <w:rsid w:val="00D448D5"/>
    <w:rsid w:val="00D468CD"/>
    <w:rsid w:val="00D47062"/>
    <w:rsid w:val="00D53678"/>
    <w:rsid w:val="00D5406C"/>
    <w:rsid w:val="00D54588"/>
    <w:rsid w:val="00D5474D"/>
    <w:rsid w:val="00D569D5"/>
    <w:rsid w:val="00D57A50"/>
    <w:rsid w:val="00D604A4"/>
    <w:rsid w:val="00D60D98"/>
    <w:rsid w:val="00D62330"/>
    <w:rsid w:val="00D62A87"/>
    <w:rsid w:val="00D6516E"/>
    <w:rsid w:val="00D66065"/>
    <w:rsid w:val="00D66809"/>
    <w:rsid w:val="00D6753F"/>
    <w:rsid w:val="00D7261D"/>
    <w:rsid w:val="00D73A42"/>
    <w:rsid w:val="00D750FA"/>
    <w:rsid w:val="00D77FF1"/>
    <w:rsid w:val="00D808B8"/>
    <w:rsid w:val="00D82A0E"/>
    <w:rsid w:val="00D8415A"/>
    <w:rsid w:val="00D84EAD"/>
    <w:rsid w:val="00D85226"/>
    <w:rsid w:val="00D85247"/>
    <w:rsid w:val="00D85DC7"/>
    <w:rsid w:val="00D863FA"/>
    <w:rsid w:val="00D87354"/>
    <w:rsid w:val="00D87CEA"/>
    <w:rsid w:val="00D93D4A"/>
    <w:rsid w:val="00D93EC5"/>
    <w:rsid w:val="00D95360"/>
    <w:rsid w:val="00D96E3B"/>
    <w:rsid w:val="00D97671"/>
    <w:rsid w:val="00DA2CA6"/>
    <w:rsid w:val="00DA3030"/>
    <w:rsid w:val="00DA3D3E"/>
    <w:rsid w:val="00DA57DC"/>
    <w:rsid w:val="00DA6B18"/>
    <w:rsid w:val="00DA78AF"/>
    <w:rsid w:val="00DB0618"/>
    <w:rsid w:val="00DB3245"/>
    <w:rsid w:val="00DB49B0"/>
    <w:rsid w:val="00DB5933"/>
    <w:rsid w:val="00DB69AC"/>
    <w:rsid w:val="00DC04EB"/>
    <w:rsid w:val="00DC1110"/>
    <w:rsid w:val="00DC167A"/>
    <w:rsid w:val="00DC1D2F"/>
    <w:rsid w:val="00DC4188"/>
    <w:rsid w:val="00DC4F6A"/>
    <w:rsid w:val="00DC6902"/>
    <w:rsid w:val="00DD086C"/>
    <w:rsid w:val="00DD2BEC"/>
    <w:rsid w:val="00DD3B67"/>
    <w:rsid w:val="00DD3EB8"/>
    <w:rsid w:val="00DD4334"/>
    <w:rsid w:val="00DD5ED3"/>
    <w:rsid w:val="00DD5FF6"/>
    <w:rsid w:val="00DD6F15"/>
    <w:rsid w:val="00DD7FD1"/>
    <w:rsid w:val="00DE0A63"/>
    <w:rsid w:val="00DE2908"/>
    <w:rsid w:val="00DE3A22"/>
    <w:rsid w:val="00DE4F37"/>
    <w:rsid w:val="00DE5445"/>
    <w:rsid w:val="00DE5EF1"/>
    <w:rsid w:val="00DE6EFB"/>
    <w:rsid w:val="00DF0386"/>
    <w:rsid w:val="00DF03C7"/>
    <w:rsid w:val="00DF095A"/>
    <w:rsid w:val="00DF0E95"/>
    <w:rsid w:val="00DF0F6D"/>
    <w:rsid w:val="00DF2208"/>
    <w:rsid w:val="00DF33E8"/>
    <w:rsid w:val="00DF4BA7"/>
    <w:rsid w:val="00DF5977"/>
    <w:rsid w:val="00DF6794"/>
    <w:rsid w:val="00DF6FDE"/>
    <w:rsid w:val="00E00560"/>
    <w:rsid w:val="00E00F51"/>
    <w:rsid w:val="00E014DB"/>
    <w:rsid w:val="00E01C5C"/>
    <w:rsid w:val="00E03488"/>
    <w:rsid w:val="00E03ACB"/>
    <w:rsid w:val="00E05E07"/>
    <w:rsid w:val="00E064C5"/>
    <w:rsid w:val="00E10F6F"/>
    <w:rsid w:val="00E11373"/>
    <w:rsid w:val="00E11E6A"/>
    <w:rsid w:val="00E12051"/>
    <w:rsid w:val="00E12327"/>
    <w:rsid w:val="00E126D0"/>
    <w:rsid w:val="00E12FF3"/>
    <w:rsid w:val="00E1487A"/>
    <w:rsid w:val="00E14D04"/>
    <w:rsid w:val="00E1604E"/>
    <w:rsid w:val="00E16E4C"/>
    <w:rsid w:val="00E1787D"/>
    <w:rsid w:val="00E20353"/>
    <w:rsid w:val="00E20EAA"/>
    <w:rsid w:val="00E212EB"/>
    <w:rsid w:val="00E229C1"/>
    <w:rsid w:val="00E23863"/>
    <w:rsid w:val="00E23DE1"/>
    <w:rsid w:val="00E25942"/>
    <w:rsid w:val="00E25A70"/>
    <w:rsid w:val="00E25D32"/>
    <w:rsid w:val="00E26B98"/>
    <w:rsid w:val="00E275A7"/>
    <w:rsid w:val="00E2760E"/>
    <w:rsid w:val="00E30C6D"/>
    <w:rsid w:val="00E319CA"/>
    <w:rsid w:val="00E319D7"/>
    <w:rsid w:val="00E33BF4"/>
    <w:rsid w:val="00E3592B"/>
    <w:rsid w:val="00E37315"/>
    <w:rsid w:val="00E37C6F"/>
    <w:rsid w:val="00E412CB"/>
    <w:rsid w:val="00E433E0"/>
    <w:rsid w:val="00E440C8"/>
    <w:rsid w:val="00E44FE7"/>
    <w:rsid w:val="00E46397"/>
    <w:rsid w:val="00E46DB9"/>
    <w:rsid w:val="00E47164"/>
    <w:rsid w:val="00E47F36"/>
    <w:rsid w:val="00E520EA"/>
    <w:rsid w:val="00E537B8"/>
    <w:rsid w:val="00E53E04"/>
    <w:rsid w:val="00E56994"/>
    <w:rsid w:val="00E57200"/>
    <w:rsid w:val="00E5760E"/>
    <w:rsid w:val="00E57F91"/>
    <w:rsid w:val="00E60E41"/>
    <w:rsid w:val="00E61A8A"/>
    <w:rsid w:val="00E61DA8"/>
    <w:rsid w:val="00E62921"/>
    <w:rsid w:val="00E62BF1"/>
    <w:rsid w:val="00E631F3"/>
    <w:rsid w:val="00E64818"/>
    <w:rsid w:val="00E649C0"/>
    <w:rsid w:val="00E64C5F"/>
    <w:rsid w:val="00E6553B"/>
    <w:rsid w:val="00E675BC"/>
    <w:rsid w:val="00E67DF5"/>
    <w:rsid w:val="00E70E46"/>
    <w:rsid w:val="00E70E67"/>
    <w:rsid w:val="00E73542"/>
    <w:rsid w:val="00E73A55"/>
    <w:rsid w:val="00E74300"/>
    <w:rsid w:val="00E75180"/>
    <w:rsid w:val="00E8041A"/>
    <w:rsid w:val="00E81D1D"/>
    <w:rsid w:val="00E821F4"/>
    <w:rsid w:val="00E8237B"/>
    <w:rsid w:val="00E83AD4"/>
    <w:rsid w:val="00E848BE"/>
    <w:rsid w:val="00E85AED"/>
    <w:rsid w:val="00E87EB6"/>
    <w:rsid w:val="00E90FF1"/>
    <w:rsid w:val="00E93367"/>
    <w:rsid w:val="00E93BBB"/>
    <w:rsid w:val="00E95899"/>
    <w:rsid w:val="00E9638D"/>
    <w:rsid w:val="00E96A8D"/>
    <w:rsid w:val="00E97A75"/>
    <w:rsid w:val="00E97A7C"/>
    <w:rsid w:val="00E97BD7"/>
    <w:rsid w:val="00EA1D85"/>
    <w:rsid w:val="00EA24B5"/>
    <w:rsid w:val="00EA3B38"/>
    <w:rsid w:val="00EA4039"/>
    <w:rsid w:val="00EA518E"/>
    <w:rsid w:val="00EA7BB6"/>
    <w:rsid w:val="00EB0432"/>
    <w:rsid w:val="00EB167C"/>
    <w:rsid w:val="00EB2EFD"/>
    <w:rsid w:val="00EB4245"/>
    <w:rsid w:val="00EB549E"/>
    <w:rsid w:val="00EB62AB"/>
    <w:rsid w:val="00EB6F9B"/>
    <w:rsid w:val="00EB73DB"/>
    <w:rsid w:val="00EC1DFF"/>
    <w:rsid w:val="00EC23D8"/>
    <w:rsid w:val="00EC54DF"/>
    <w:rsid w:val="00EC55F4"/>
    <w:rsid w:val="00ED0BDB"/>
    <w:rsid w:val="00ED0ECA"/>
    <w:rsid w:val="00ED4E67"/>
    <w:rsid w:val="00ED5317"/>
    <w:rsid w:val="00ED557B"/>
    <w:rsid w:val="00ED6358"/>
    <w:rsid w:val="00ED6798"/>
    <w:rsid w:val="00EE0665"/>
    <w:rsid w:val="00EE15BE"/>
    <w:rsid w:val="00EE30D8"/>
    <w:rsid w:val="00EE3469"/>
    <w:rsid w:val="00EF1684"/>
    <w:rsid w:val="00EF1AA1"/>
    <w:rsid w:val="00EF319A"/>
    <w:rsid w:val="00EF3876"/>
    <w:rsid w:val="00EF5457"/>
    <w:rsid w:val="00EF5B1E"/>
    <w:rsid w:val="00EF7B25"/>
    <w:rsid w:val="00EF7C21"/>
    <w:rsid w:val="00F02795"/>
    <w:rsid w:val="00F04F6E"/>
    <w:rsid w:val="00F05680"/>
    <w:rsid w:val="00F058B4"/>
    <w:rsid w:val="00F068B4"/>
    <w:rsid w:val="00F06FCD"/>
    <w:rsid w:val="00F07D29"/>
    <w:rsid w:val="00F107B6"/>
    <w:rsid w:val="00F123C2"/>
    <w:rsid w:val="00F12F45"/>
    <w:rsid w:val="00F1302F"/>
    <w:rsid w:val="00F1472D"/>
    <w:rsid w:val="00F152FD"/>
    <w:rsid w:val="00F1602B"/>
    <w:rsid w:val="00F17831"/>
    <w:rsid w:val="00F17BE9"/>
    <w:rsid w:val="00F21CE3"/>
    <w:rsid w:val="00F22FEC"/>
    <w:rsid w:val="00F23E5E"/>
    <w:rsid w:val="00F26D14"/>
    <w:rsid w:val="00F27B7A"/>
    <w:rsid w:val="00F27D6E"/>
    <w:rsid w:val="00F31A91"/>
    <w:rsid w:val="00F32954"/>
    <w:rsid w:val="00F353E4"/>
    <w:rsid w:val="00F3572C"/>
    <w:rsid w:val="00F3593F"/>
    <w:rsid w:val="00F3775B"/>
    <w:rsid w:val="00F408F5"/>
    <w:rsid w:val="00F419AE"/>
    <w:rsid w:val="00F42347"/>
    <w:rsid w:val="00F44266"/>
    <w:rsid w:val="00F44342"/>
    <w:rsid w:val="00F44F2F"/>
    <w:rsid w:val="00F4569C"/>
    <w:rsid w:val="00F476E3"/>
    <w:rsid w:val="00F477BE"/>
    <w:rsid w:val="00F50F60"/>
    <w:rsid w:val="00F51E91"/>
    <w:rsid w:val="00F52D33"/>
    <w:rsid w:val="00F54676"/>
    <w:rsid w:val="00F54F93"/>
    <w:rsid w:val="00F56461"/>
    <w:rsid w:val="00F6009F"/>
    <w:rsid w:val="00F60209"/>
    <w:rsid w:val="00F608A8"/>
    <w:rsid w:val="00F61A20"/>
    <w:rsid w:val="00F61D4A"/>
    <w:rsid w:val="00F61E46"/>
    <w:rsid w:val="00F641AF"/>
    <w:rsid w:val="00F64477"/>
    <w:rsid w:val="00F65DCB"/>
    <w:rsid w:val="00F664B8"/>
    <w:rsid w:val="00F66788"/>
    <w:rsid w:val="00F74219"/>
    <w:rsid w:val="00F75F1C"/>
    <w:rsid w:val="00F763CA"/>
    <w:rsid w:val="00F76D0E"/>
    <w:rsid w:val="00F81A3D"/>
    <w:rsid w:val="00F81D4C"/>
    <w:rsid w:val="00F82FA7"/>
    <w:rsid w:val="00F83E1C"/>
    <w:rsid w:val="00F84761"/>
    <w:rsid w:val="00F91127"/>
    <w:rsid w:val="00F93940"/>
    <w:rsid w:val="00F968AA"/>
    <w:rsid w:val="00FA0126"/>
    <w:rsid w:val="00FA1806"/>
    <w:rsid w:val="00FA2113"/>
    <w:rsid w:val="00FA2814"/>
    <w:rsid w:val="00FA36AA"/>
    <w:rsid w:val="00FA3BE3"/>
    <w:rsid w:val="00FA3F44"/>
    <w:rsid w:val="00FA60F3"/>
    <w:rsid w:val="00FA6D46"/>
    <w:rsid w:val="00FB006D"/>
    <w:rsid w:val="00FB1028"/>
    <w:rsid w:val="00FB2038"/>
    <w:rsid w:val="00FB251B"/>
    <w:rsid w:val="00FB2B1C"/>
    <w:rsid w:val="00FB3D4C"/>
    <w:rsid w:val="00FB4637"/>
    <w:rsid w:val="00FB4882"/>
    <w:rsid w:val="00FB514B"/>
    <w:rsid w:val="00FB67F6"/>
    <w:rsid w:val="00FC0B0A"/>
    <w:rsid w:val="00FC1E3A"/>
    <w:rsid w:val="00FC3168"/>
    <w:rsid w:val="00FC3227"/>
    <w:rsid w:val="00FC355A"/>
    <w:rsid w:val="00FC36E4"/>
    <w:rsid w:val="00FC38F8"/>
    <w:rsid w:val="00FC4020"/>
    <w:rsid w:val="00FC4548"/>
    <w:rsid w:val="00FC495B"/>
    <w:rsid w:val="00FC6F27"/>
    <w:rsid w:val="00FC75A8"/>
    <w:rsid w:val="00FD1896"/>
    <w:rsid w:val="00FD254B"/>
    <w:rsid w:val="00FD2952"/>
    <w:rsid w:val="00FD2EB8"/>
    <w:rsid w:val="00FD2FD7"/>
    <w:rsid w:val="00FD4872"/>
    <w:rsid w:val="00FD4DA7"/>
    <w:rsid w:val="00FD50D1"/>
    <w:rsid w:val="00FD5AFF"/>
    <w:rsid w:val="00FD636E"/>
    <w:rsid w:val="00FD732A"/>
    <w:rsid w:val="00FD7BD0"/>
    <w:rsid w:val="00FD7E4C"/>
    <w:rsid w:val="00FE09E6"/>
    <w:rsid w:val="00FE1115"/>
    <w:rsid w:val="00FE2E63"/>
    <w:rsid w:val="00FE3A84"/>
    <w:rsid w:val="00FE511C"/>
    <w:rsid w:val="00FE5C74"/>
    <w:rsid w:val="00FE6205"/>
    <w:rsid w:val="00FE750A"/>
    <w:rsid w:val="00FF3782"/>
    <w:rsid w:val="00FF3ECD"/>
    <w:rsid w:val="00FF4D1A"/>
    <w:rsid w:val="00FF4EC9"/>
    <w:rsid w:val="00FF59CA"/>
    <w:rsid w:val="00FF6321"/>
    <w:rsid w:val="00FF6B25"/>
    <w:rsid w:val="00FF6CC3"/>
    <w:rsid w:val="01CE5880"/>
    <w:rsid w:val="01D220DD"/>
    <w:rsid w:val="0280D8F3"/>
    <w:rsid w:val="03584EDD"/>
    <w:rsid w:val="0380DBEF"/>
    <w:rsid w:val="046E33F8"/>
    <w:rsid w:val="0529ECA8"/>
    <w:rsid w:val="05D58C75"/>
    <w:rsid w:val="08140B39"/>
    <w:rsid w:val="08784D1F"/>
    <w:rsid w:val="08A192D8"/>
    <w:rsid w:val="09091443"/>
    <w:rsid w:val="0AD49BB2"/>
    <w:rsid w:val="0B14B2A1"/>
    <w:rsid w:val="0C8433EE"/>
    <w:rsid w:val="0D5F0BFC"/>
    <w:rsid w:val="0D8FF3AF"/>
    <w:rsid w:val="0DF2718A"/>
    <w:rsid w:val="0F3D0722"/>
    <w:rsid w:val="0F4AF214"/>
    <w:rsid w:val="0F4E63EF"/>
    <w:rsid w:val="0F6755D1"/>
    <w:rsid w:val="0F6E23CD"/>
    <w:rsid w:val="10FC24F8"/>
    <w:rsid w:val="133455E4"/>
    <w:rsid w:val="134C93AF"/>
    <w:rsid w:val="136E9250"/>
    <w:rsid w:val="13D7214A"/>
    <w:rsid w:val="1435C8AB"/>
    <w:rsid w:val="14811BF8"/>
    <w:rsid w:val="14B4DADB"/>
    <w:rsid w:val="14E0B32F"/>
    <w:rsid w:val="15C1B679"/>
    <w:rsid w:val="15D5E5AC"/>
    <w:rsid w:val="161E0644"/>
    <w:rsid w:val="1658C4A7"/>
    <w:rsid w:val="1734341E"/>
    <w:rsid w:val="18625DE1"/>
    <w:rsid w:val="18CEE0D9"/>
    <w:rsid w:val="194B7FEB"/>
    <w:rsid w:val="1A29E9BF"/>
    <w:rsid w:val="1A82B046"/>
    <w:rsid w:val="1A8BF0C8"/>
    <w:rsid w:val="1C823FE1"/>
    <w:rsid w:val="1C864830"/>
    <w:rsid w:val="1D1851FC"/>
    <w:rsid w:val="1E319D97"/>
    <w:rsid w:val="1E77F9F9"/>
    <w:rsid w:val="1ECD303E"/>
    <w:rsid w:val="1EF40766"/>
    <w:rsid w:val="1FB7F96F"/>
    <w:rsid w:val="1FE3FEB8"/>
    <w:rsid w:val="1FE803A4"/>
    <w:rsid w:val="2060DE4E"/>
    <w:rsid w:val="207F6BC9"/>
    <w:rsid w:val="20E0E4B8"/>
    <w:rsid w:val="219BD86F"/>
    <w:rsid w:val="23641088"/>
    <w:rsid w:val="237D7217"/>
    <w:rsid w:val="244798A4"/>
    <w:rsid w:val="24942E9A"/>
    <w:rsid w:val="24A7647C"/>
    <w:rsid w:val="252A4FAE"/>
    <w:rsid w:val="25E8BF78"/>
    <w:rsid w:val="26948F04"/>
    <w:rsid w:val="269F9C71"/>
    <w:rsid w:val="280F9147"/>
    <w:rsid w:val="2854993B"/>
    <w:rsid w:val="28A2F2E7"/>
    <w:rsid w:val="28BDAD30"/>
    <w:rsid w:val="291C4C62"/>
    <w:rsid w:val="29FE2FD4"/>
    <w:rsid w:val="2B69F990"/>
    <w:rsid w:val="2B77CDD5"/>
    <w:rsid w:val="2BA28ACD"/>
    <w:rsid w:val="2E658E9D"/>
    <w:rsid w:val="2EBB6A3A"/>
    <w:rsid w:val="2F0B639D"/>
    <w:rsid w:val="2F78CDD6"/>
    <w:rsid w:val="303434C6"/>
    <w:rsid w:val="3163E463"/>
    <w:rsid w:val="31F4A417"/>
    <w:rsid w:val="32175E23"/>
    <w:rsid w:val="3230533A"/>
    <w:rsid w:val="33A0DBE8"/>
    <w:rsid w:val="33E0BFA1"/>
    <w:rsid w:val="34D42697"/>
    <w:rsid w:val="34E9597E"/>
    <w:rsid w:val="35033B19"/>
    <w:rsid w:val="352A2462"/>
    <w:rsid w:val="357F638D"/>
    <w:rsid w:val="37208BF2"/>
    <w:rsid w:val="3729BC78"/>
    <w:rsid w:val="379207A8"/>
    <w:rsid w:val="37EA693C"/>
    <w:rsid w:val="382CB7FF"/>
    <w:rsid w:val="384445BA"/>
    <w:rsid w:val="38CF52A7"/>
    <w:rsid w:val="38D4BF09"/>
    <w:rsid w:val="39EB5F4C"/>
    <w:rsid w:val="3A0EFE62"/>
    <w:rsid w:val="3A1B21BB"/>
    <w:rsid w:val="3B0C1D98"/>
    <w:rsid w:val="3B319DCD"/>
    <w:rsid w:val="3B70B2FE"/>
    <w:rsid w:val="3BAD99A5"/>
    <w:rsid w:val="3C5D91F5"/>
    <w:rsid w:val="3CE08189"/>
    <w:rsid w:val="3D17F9E4"/>
    <w:rsid w:val="3D8E3626"/>
    <w:rsid w:val="3DFCB355"/>
    <w:rsid w:val="3E169812"/>
    <w:rsid w:val="3EA25066"/>
    <w:rsid w:val="3FE8C27E"/>
    <w:rsid w:val="3FFBFAE7"/>
    <w:rsid w:val="40262CED"/>
    <w:rsid w:val="408892D4"/>
    <w:rsid w:val="40B9059C"/>
    <w:rsid w:val="40D4EE6A"/>
    <w:rsid w:val="41551946"/>
    <w:rsid w:val="41715590"/>
    <w:rsid w:val="4214DB92"/>
    <w:rsid w:val="42A06590"/>
    <w:rsid w:val="430ADAAD"/>
    <w:rsid w:val="4376A113"/>
    <w:rsid w:val="43770395"/>
    <w:rsid w:val="43947A56"/>
    <w:rsid w:val="43BAFCE7"/>
    <w:rsid w:val="4643CB97"/>
    <w:rsid w:val="46C8D978"/>
    <w:rsid w:val="482DAE6A"/>
    <w:rsid w:val="49E87828"/>
    <w:rsid w:val="49F3485A"/>
    <w:rsid w:val="49F72C89"/>
    <w:rsid w:val="4CDB4273"/>
    <w:rsid w:val="4D32E22E"/>
    <w:rsid w:val="4D47982D"/>
    <w:rsid w:val="4D4898BF"/>
    <w:rsid w:val="4D76FE0C"/>
    <w:rsid w:val="4FA063E6"/>
    <w:rsid w:val="504FCBC9"/>
    <w:rsid w:val="507A6891"/>
    <w:rsid w:val="50ADE294"/>
    <w:rsid w:val="51C624F6"/>
    <w:rsid w:val="51DD2647"/>
    <w:rsid w:val="520EE907"/>
    <w:rsid w:val="5260DB5D"/>
    <w:rsid w:val="52E744AF"/>
    <w:rsid w:val="5335F9A1"/>
    <w:rsid w:val="53A31A44"/>
    <w:rsid w:val="53DF32CB"/>
    <w:rsid w:val="53E17CBA"/>
    <w:rsid w:val="54578A1F"/>
    <w:rsid w:val="54615CD8"/>
    <w:rsid w:val="5513E39E"/>
    <w:rsid w:val="55665EDD"/>
    <w:rsid w:val="56265A41"/>
    <w:rsid w:val="584BD076"/>
    <w:rsid w:val="58D6BACA"/>
    <w:rsid w:val="5993AC09"/>
    <w:rsid w:val="5A4C81EE"/>
    <w:rsid w:val="5A84B917"/>
    <w:rsid w:val="5C1B0047"/>
    <w:rsid w:val="5CAE9DE1"/>
    <w:rsid w:val="5CEAF009"/>
    <w:rsid w:val="5D44A2C1"/>
    <w:rsid w:val="5DB5A9A9"/>
    <w:rsid w:val="5DF5E391"/>
    <w:rsid w:val="5E301D95"/>
    <w:rsid w:val="5E8C1C9B"/>
    <w:rsid w:val="5FB4E087"/>
    <w:rsid w:val="606952C5"/>
    <w:rsid w:val="60A29B03"/>
    <w:rsid w:val="60B629E4"/>
    <w:rsid w:val="624B1221"/>
    <w:rsid w:val="6268C6DA"/>
    <w:rsid w:val="633364C1"/>
    <w:rsid w:val="63E66247"/>
    <w:rsid w:val="64595103"/>
    <w:rsid w:val="64682947"/>
    <w:rsid w:val="64BE5097"/>
    <w:rsid w:val="64ECCACB"/>
    <w:rsid w:val="662E790A"/>
    <w:rsid w:val="66385E3C"/>
    <w:rsid w:val="669237FC"/>
    <w:rsid w:val="680E6DD8"/>
    <w:rsid w:val="682A9DDD"/>
    <w:rsid w:val="6957AEB6"/>
    <w:rsid w:val="69C5039F"/>
    <w:rsid w:val="6B14AB26"/>
    <w:rsid w:val="6B8B7BE4"/>
    <w:rsid w:val="6C848968"/>
    <w:rsid w:val="6D0F2672"/>
    <w:rsid w:val="6DD59ED9"/>
    <w:rsid w:val="6E30BCE0"/>
    <w:rsid w:val="6E7F21ED"/>
    <w:rsid w:val="6EC80427"/>
    <w:rsid w:val="6ED6493E"/>
    <w:rsid w:val="6F731A15"/>
    <w:rsid w:val="6F8E7D52"/>
    <w:rsid w:val="71458DC7"/>
    <w:rsid w:val="71D29472"/>
    <w:rsid w:val="7205CC6C"/>
    <w:rsid w:val="724669AA"/>
    <w:rsid w:val="73476A33"/>
    <w:rsid w:val="738293BA"/>
    <w:rsid w:val="73AD4D79"/>
    <w:rsid w:val="7482B2A1"/>
    <w:rsid w:val="749AAA66"/>
    <w:rsid w:val="74F27777"/>
    <w:rsid w:val="75A8F253"/>
    <w:rsid w:val="77FF13FF"/>
    <w:rsid w:val="7ABC37B8"/>
    <w:rsid w:val="7BF584FC"/>
    <w:rsid w:val="7C640A97"/>
    <w:rsid w:val="7C7D3F50"/>
    <w:rsid w:val="7CCE191C"/>
    <w:rsid w:val="7D975BD1"/>
    <w:rsid w:val="7E011EF3"/>
    <w:rsid w:val="7E54DDB0"/>
    <w:rsid w:val="7E7A667B"/>
    <w:rsid w:val="7E9979C0"/>
    <w:rsid w:val="7F64A0F4"/>
    <w:rsid w:val="7F66B376"/>
    <w:rsid w:val="7F9A9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2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6C7F87"/>
    <w:pPr>
      <w:numPr>
        <w:numId w:val="2"/>
      </w:numPr>
      <w:tabs>
        <w:tab w:val="num" w:pos="360"/>
      </w:tabs>
      <w:ind w:left="0" w:firstLine="0"/>
    </w:pPr>
    <w:rPr>
      <w:rFonts w:eastAsia="Times New Roman"/>
      <w:lang w:eastAsia="de-DE"/>
    </w:rPr>
  </w:style>
  <w:style w:type="paragraph" w:styleId="ListNumber">
    <w:name w:val="List Number"/>
    <w:basedOn w:val="Normal"/>
    <w:rsid w:val="006C7F87"/>
    <w:pPr>
      <w:numPr>
        <w:numId w:val="6"/>
      </w:numPr>
    </w:pPr>
    <w:rPr>
      <w:rFonts w:eastAsia="Times New Roman"/>
      <w:lang w:eastAsia="de-DE"/>
    </w:rPr>
  </w:style>
  <w:style w:type="paragraph" w:customStyle="1" w:styleId="ListBullet1">
    <w:name w:val="List Bullet 1"/>
    <w:basedOn w:val="Normal"/>
    <w:rsid w:val="006C7F87"/>
    <w:pPr>
      <w:numPr>
        <w:numId w:val="1"/>
      </w:numPr>
    </w:pPr>
    <w:rPr>
      <w:rFonts w:eastAsia="Times New Roman"/>
      <w:lang w:eastAsia="de-DE"/>
    </w:rPr>
  </w:style>
  <w:style w:type="paragraph" w:customStyle="1" w:styleId="ListDash">
    <w:name w:val="List Dash"/>
    <w:basedOn w:val="Normal"/>
    <w:rsid w:val="006C7F87"/>
    <w:pPr>
      <w:numPr>
        <w:numId w:val="3"/>
      </w:numPr>
    </w:pPr>
    <w:rPr>
      <w:rFonts w:eastAsia="Times New Roman"/>
      <w:lang w:eastAsia="de-DE"/>
    </w:rPr>
  </w:style>
  <w:style w:type="paragraph" w:customStyle="1" w:styleId="ListDash1">
    <w:name w:val="List Dash 1"/>
    <w:basedOn w:val="Normal"/>
    <w:rsid w:val="006C7F87"/>
    <w:pPr>
      <w:numPr>
        <w:numId w:val="4"/>
      </w:numPr>
    </w:pPr>
    <w:rPr>
      <w:rFonts w:eastAsia="Times New Roman"/>
      <w:lang w:eastAsia="de-DE"/>
    </w:rPr>
  </w:style>
  <w:style w:type="paragraph" w:customStyle="1" w:styleId="ListDash2">
    <w:name w:val="List Dash 2"/>
    <w:basedOn w:val="Normal"/>
    <w:rsid w:val="006C7F87"/>
    <w:pPr>
      <w:numPr>
        <w:numId w:val="5"/>
      </w:numPr>
    </w:pPr>
    <w:rPr>
      <w:rFonts w:eastAsia="Times New Roman"/>
      <w:lang w:eastAsia="de-DE"/>
    </w:rPr>
  </w:style>
  <w:style w:type="paragraph" w:customStyle="1" w:styleId="ListNumberLevel2">
    <w:name w:val="List Number (Level 2)"/>
    <w:basedOn w:val="Normal"/>
    <w:rsid w:val="006C7F87"/>
    <w:pPr>
      <w:numPr>
        <w:ilvl w:val="1"/>
        <w:numId w:val="6"/>
      </w:numPr>
    </w:pPr>
    <w:rPr>
      <w:rFonts w:eastAsia="Times New Roman"/>
      <w:lang w:eastAsia="de-DE"/>
    </w:rPr>
  </w:style>
  <w:style w:type="paragraph" w:customStyle="1" w:styleId="ListNumberLevel3">
    <w:name w:val="List Number (Level 3)"/>
    <w:basedOn w:val="Normal"/>
    <w:rsid w:val="006C7F87"/>
    <w:pPr>
      <w:numPr>
        <w:ilvl w:val="2"/>
        <w:numId w:val="6"/>
      </w:numPr>
    </w:pPr>
    <w:rPr>
      <w:rFonts w:eastAsia="Times New Roman"/>
      <w:lang w:eastAsia="de-DE"/>
    </w:rPr>
  </w:style>
  <w:style w:type="paragraph" w:customStyle="1" w:styleId="ListNumberLevel4">
    <w:name w:val="List Number (Level 4)"/>
    <w:basedOn w:val="Normal"/>
    <w:rsid w:val="006C7F87"/>
    <w:pPr>
      <w:numPr>
        <w:ilvl w:val="3"/>
        <w:numId w:val="6"/>
      </w:numPr>
    </w:pPr>
    <w:rPr>
      <w:rFonts w:eastAsia="Times New Roman"/>
      <w:lang w:eastAsia="de-DE"/>
    </w:rPr>
  </w:style>
  <w:style w:type="table" w:styleId="TableGrid">
    <w:name w:val="Table Grid"/>
    <w:basedOn w:val="TableNormal"/>
    <w:rsid w:val="006C7F8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C7F87"/>
    <w:rPr>
      <w:color w:val="0000FF"/>
      <w:u w:val="single"/>
    </w:rPr>
  </w:style>
  <w:style w:type="paragraph" w:styleId="ListBullet">
    <w:name w:val="List Bullet"/>
    <w:basedOn w:val="Normal"/>
    <w:rsid w:val="006C7F87"/>
    <w:pPr>
      <w:numPr>
        <w:numId w:val="7"/>
      </w:numPr>
    </w:pPr>
    <w:rPr>
      <w:rFonts w:eastAsia="Times New Roman"/>
      <w:lang w:eastAsia="en-GB"/>
    </w:rPr>
  </w:style>
  <w:style w:type="paragraph" w:styleId="ListBullet2">
    <w:name w:val="List Bullet 2"/>
    <w:basedOn w:val="Normal"/>
    <w:rsid w:val="006C7F87"/>
    <w:pPr>
      <w:numPr>
        <w:numId w:val="8"/>
      </w:numPr>
    </w:pPr>
    <w:rPr>
      <w:rFonts w:eastAsia="Times New Roman"/>
      <w:lang w:eastAsia="en-GB"/>
    </w:rPr>
  </w:style>
  <w:style w:type="paragraph" w:styleId="ListBullet3">
    <w:name w:val="List Bullet 3"/>
    <w:basedOn w:val="Normal"/>
    <w:rsid w:val="006C7F87"/>
    <w:pPr>
      <w:numPr>
        <w:numId w:val="9"/>
      </w:numPr>
    </w:pPr>
    <w:rPr>
      <w:rFonts w:eastAsia="Times New Roman"/>
      <w:lang w:eastAsia="en-GB"/>
    </w:rPr>
  </w:style>
  <w:style w:type="paragraph" w:styleId="ListNumber2">
    <w:name w:val="List Number 2"/>
    <w:basedOn w:val="Normal"/>
    <w:rsid w:val="006C7F87"/>
    <w:pPr>
      <w:numPr>
        <w:numId w:val="13"/>
      </w:numPr>
    </w:pPr>
    <w:rPr>
      <w:rFonts w:eastAsia="Times New Roman"/>
      <w:lang w:eastAsia="en-GB"/>
    </w:rPr>
  </w:style>
  <w:style w:type="paragraph" w:styleId="ListNumber3">
    <w:name w:val="List Number 3"/>
    <w:basedOn w:val="Normal"/>
    <w:rsid w:val="006C7F87"/>
    <w:pPr>
      <w:numPr>
        <w:numId w:val="14"/>
      </w:numPr>
    </w:pPr>
    <w:rPr>
      <w:rFonts w:eastAsia="Times New Roman"/>
      <w:lang w:eastAsia="en-GB"/>
    </w:rPr>
  </w:style>
  <w:style w:type="paragraph" w:styleId="ListNumber4">
    <w:name w:val="List Number 4"/>
    <w:basedOn w:val="Normal"/>
    <w:rsid w:val="006C7F87"/>
    <w:pPr>
      <w:numPr>
        <w:numId w:val="15"/>
      </w:numPr>
    </w:pPr>
    <w:rPr>
      <w:rFonts w:eastAsia="Times New Roman"/>
      <w:lang w:eastAsia="en-GB"/>
    </w:rPr>
  </w:style>
  <w:style w:type="paragraph" w:customStyle="1" w:styleId="ListDash3">
    <w:name w:val="List Dash 3"/>
    <w:basedOn w:val="Normal"/>
    <w:rsid w:val="006C7F87"/>
    <w:pPr>
      <w:numPr>
        <w:numId w:val="10"/>
      </w:numPr>
    </w:pPr>
    <w:rPr>
      <w:rFonts w:eastAsia="Times New Roman"/>
      <w:lang w:eastAsia="en-GB"/>
    </w:rPr>
  </w:style>
  <w:style w:type="paragraph" w:customStyle="1" w:styleId="ListDash4">
    <w:name w:val="List Dash 4"/>
    <w:basedOn w:val="Normal"/>
    <w:rsid w:val="006C7F87"/>
    <w:pPr>
      <w:numPr>
        <w:numId w:val="11"/>
      </w:numPr>
    </w:pPr>
    <w:rPr>
      <w:rFonts w:eastAsia="Times New Roman"/>
      <w:lang w:eastAsia="en-GB"/>
    </w:rPr>
  </w:style>
  <w:style w:type="paragraph" w:customStyle="1" w:styleId="ListNumber1">
    <w:name w:val="List Number 1"/>
    <w:basedOn w:val="Text1"/>
    <w:rsid w:val="006C7F87"/>
    <w:pPr>
      <w:numPr>
        <w:numId w:val="12"/>
      </w:numPr>
    </w:pPr>
    <w:rPr>
      <w:rFonts w:eastAsia="Times New Roman"/>
      <w:lang w:eastAsia="en-GB"/>
    </w:rPr>
  </w:style>
  <w:style w:type="paragraph" w:customStyle="1" w:styleId="ListNumber1Level2">
    <w:name w:val="List Number 1 (Level 2)"/>
    <w:basedOn w:val="Text1"/>
    <w:rsid w:val="006C7F87"/>
    <w:pPr>
      <w:numPr>
        <w:ilvl w:val="1"/>
        <w:numId w:val="12"/>
      </w:numPr>
    </w:pPr>
    <w:rPr>
      <w:rFonts w:eastAsia="Times New Roman"/>
      <w:lang w:eastAsia="en-GB"/>
    </w:rPr>
  </w:style>
  <w:style w:type="paragraph" w:customStyle="1" w:styleId="ListNumber2Level2">
    <w:name w:val="List Number 2 (Level 2)"/>
    <w:basedOn w:val="Text2"/>
    <w:rsid w:val="006C7F87"/>
    <w:pPr>
      <w:numPr>
        <w:ilvl w:val="1"/>
        <w:numId w:val="13"/>
      </w:numPr>
    </w:pPr>
    <w:rPr>
      <w:rFonts w:eastAsia="Times New Roman"/>
      <w:lang w:eastAsia="en-GB"/>
    </w:rPr>
  </w:style>
  <w:style w:type="paragraph" w:customStyle="1" w:styleId="ListNumber3Level2">
    <w:name w:val="List Number 3 (Level 2)"/>
    <w:basedOn w:val="Text3"/>
    <w:rsid w:val="006C7F87"/>
    <w:pPr>
      <w:numPr>
        <w:ilvl w:val="1"/>
        <w:numId w:val="14"/>
      </w:numPr>
    </w:pPr>
    <w:rPr>
      <w:rFonts w:eastAsia="Times New Roman"/>
      <w:lang w:eastAsia="en-GB"/>
    </w:rPr>
  </w:style>
  <w:style w:type="paragraph" w:customStyle="1" w:styleId="ListNumber4Level2">
    <w:name w:val="List Number 4 (Level 2)"/>
    <w:basedOn w:val="Text4"/>
    <w:rsid w:val="006C7F87"/>
    <w:pPr>
      <w:numPr>
        <w:ilvl w:val="1"/>
        <w:numId w:val="15"/>
      </w:numPr>
    </w:pPr>
    <w:rPr>
      <w:rFonts w:eastAsia="Times New Roman"/>
      <w:lang w:eastAsia="en-GB"/>
    </w:rPr>
  </w:style>
  <w:style w:type="paragraph" w:customStyle="1" w:styleId="ListNumber1Level3">
    <w:name w:val="List Number 1 (Level 3)"/>
    <w:basedOn w:val="Text1"/>
    <w:rsid w:val="006C7F87"/>
    <w:pPr>
      <w:numPr>
        <w:ilvl w:val="2"/>
        <w:numId w:val="12"/>
      </w:numPr>
    </w:pPr>
    <w:rPr>
      <w:rFonts w:eastAsia="Times New Roman"/>
      <w:lang w:eastAsia="en-GB"/>
    </w:rPr>
  </w:style>
  <w:style w:type="paragraph" w:customStyle="1" w:styleId="ListNumber2Level3">
    <w:name w:val="List Number 2 (Level 3)"/>
    <w:basedOn w:val="Text2"/>
    <w:rsid w:val="006C7F87"/>
    <w:pPr>
      <w:numPr>
        <w:ilvl w:val="2"/>
        <w:numId w:val="13"/>
      </w:numPr>
    </w:pPr>
    <w:rPr>
      <w:rFonts w:eastAsia="Times New Roman"/>
      <w:lang w:eastAsia="en-GB"/>
    </w:rPr>
  </w:style>
  <w:style w:type="paragraph" w:customStyle="1" w:styleId="ListNumber3Level3">
    <w:name w:val="List Number 3 (Level 3)"/>
    <w:basedOn w:val="Text3"/>
    <w:rsid w:val="006C7F87"/>
    <w:pPr>
      <w:numPr>
        <w:ilvl w:val="2"/>
        <w:numId w:val="14"/>
      </w:numPr>
    </w:pPr>
    <w:rPr>
      <w:rFonts w:eastAsia="Times New Roman"/>
      <w:lang w:eastAsia="en-GB"/>
    </w:rPr>
  </w:style>
  <w:style w:type="paragraph" w:customStyle="1" w:styleId="ListNumber4Level3">
    <w:name w:val="List Number 4 (Level 3)"/>
    <w:basedOn w:val="Text4"/>
    <w:rsid w:val="006C7F87"/>
    <w:pPr>
      <w:numPr>
        <w:ilvl w:val="2"/>
        <w:numId w:val="15"/>
      </w:numPr>
    </w:pPr>
    <w:rPr>
      <w:rFonts w:eastAsia="Times New Roman"/>
      <w:lang w:eastAsia="en-GB"/>
    </w:rPr>
  </w:style>
  <w:style w:type="paragraph" w:customStyle="1" w:styleId="ListNumber1Level4">
    <w:name w:val="List Number 1 (Level 4)"/>
    <w:basedOn w:val="Text1"/>
    <w:rsid w:val="006C7F87"/>
    <w:pPr>
      <w:numPr>
        <w:ilvl w:val="3"/>
        <w:numId w:val="12"/>
      </w:numPr>
    </w:pPr>
    <w:rPr>
      <w:rFonts w:eastAsia="Times New Roman"/>
      <w:lang w:eastAsia="en-GB"/>
    </w:rPr>
  </w:style>
  <w:style w:type="paragraph" w:customStyle="1" w:styleId="ListNumber2Level4">
    <w:name w:val="List Number 2 (Level 4)"/>
    <w:basedOn w:val="Text2"/>
    <w:rsid w:val="006C7F87"/>
    <w:pPr>
      <w:numPr>
        <w:ilvl w:val="3"/>
        <w:numId w:val="13"/>
      </w:numPr>
    </w:pPr>
    <w:rPr>
      <w:rFonts w:eastAsia="Times New Roman"/>
      <w:lang w:eastAsia="en-GB"/>
    </w:rPr>
  </w:style>
  <w:style w:type="paragraph" w:customStyle="1" w:styleId="ListNumber3Level4">
    <w:name w:val="List Number 3 (Level 4)"/>
    <w:basedOn w:val="Text3"/>
    <w:rsid w:val="006C7F87"/>
    <w:pPr>
      <w:numPr>
        <w:ilvl w:val="3"/>
        <w:numId w:val="14"/>
      </w:numPr>
    </w:pPr>
    <w:rPr>
      <w:rFonts w:eastAsia="Times New Roman"/>
      <w:lang w:eastAsia="en-GB"/>
    </w:rPr>
  </w:style>
  <w:style w:type="paragraph" w:customStyle="1" w:styleId="ListNumber4Level4">
    <w:name w:val="List Number 4 (Level 4)"/>
    <w:basedOn w:val="Text4"/>
    <w:rsid w:val="006C7F87"/>
    <w:pPr>
      <w:numPr>
        <w:ilvl w:val="3"/>
        <w:numId w:val="15"/>
      </w:numPr>
    </w:pPr>
    <w:rPr>
      <w:rFonts w:eastAsia="Times New Roman"/>
      <w:lang w:eastAsia="en-GB"/>
    </w:rPr>
  </w:style>
  <w:style w:type="paragraph" w:customStyle="1" w:styleId="Annexetitreacte">
    <w:name w:val="Annexe titre (acte)"/>
    <w:basedOn w:val="Normal"/>
    <w:next w:val="Normal"/>
    <w:rsid w:val="006C7F87"/>
    <w:pPr>
      <w:jc w:val="center"/>
    </w:pPr>
    <w:rPr>
      <w:rFonts w:eastAsia="Times New Roman"/>
      <w:b/>
      <w:u w:val="single"/>
      <w:lang w:eastAsia="en-GB"/>
    </w:rPr>
  </w:style>
  <w:style w:type="paragraph" w:customStyle="1" w:styleId="Annexetitreexposglobal">
    <w:name w:val="Annexe titre (exposé global)"/>
    <w:basedOn w:val="Normal"/>
    <w:next w:val="Normal"/>
    <w:rsid w:val="006C7F87"/>
    <w:pPr>
      <w:jc w:val="center"/>
    </w:pPr>
    <w:rPr>
      <w:rFonts w:eastAsia="Times New Roman"/>
      <w:b/>
      <w:u w:val="single"/>
      <w:lang w:eastAsia="en-GB"/>
    </w:rPr>
  </w:style>
  <w:style w:type="paragraph" w:customStyle="1" w:styleId="Annexetitrefichefinacte">
    <w:name w:val="Annexe titre (fiche fin. acte)"/>
    <w:basedOn w:val="Normal"/>
    <w:next w:val="Normal"/>
    <w:rsid w:val="006C7F87"/>
    <w:pPr>
      <w:jc w:val="center"/>
    </w:pPr>
    <w:rPr>
      <w:rFonts w:eastAsia="Times New Roman"/>
      <w:b/>
      <w:u w:val="single"/>
      <w:lang w:eastAsia="en-GB"/>
    </w:rPr>
  </w:style>
  <w:style w:type="paragraph" w:customStyle="1" w:styleId="Annexetitrefichefinglobale">
    <w:name w:val="Annexe titre (fiche fin. globale)"/>
    <w:basedOn w:val="Normal"/>
    <w:next w:val="Normal"/>
    <w:rsid w:val="006C7F87"/>
    <w:pPr>
      <w:jc w:val="center"/>
    </w:pPr>
    <w:rPr>
      <w:rFonts w:eastAsia="Times New Roman"/>
      <w:b/>
      <w:u w:val="single"/>
      <w:lang w:eastAsia="en-GB"/>
    </w:rPr>
  </w:style>
  <w:style w:type="paragraph" w:customStyle="1" w:styleId="Annexetitreglobale">
    <w:name w:val="Annexe titre (globale)"/>
    <w:basedOn w:val="Normal"/>
    <w:next w:val="Normal"/>
    <w:rsid w:val="006C7F87"/>
    <w:pPr>
      <w:jc w:val="center"/>
    </w:pPr>
    <w:rPr>
      <w:rFonts w:eastAsia="Times New Roman"/>
      <w:b/>
      <w:u w:val="single"/>
      <w:lang w:eastAsia="en-GB"/>
    </w:rPr>
  </w:style>
  <w:style w:type="paragraph" w:customStyle="1" w:styleId="Exposdesmotifstitreglobal">
    <w:name w:val="Exposé des motifs titre (global)"/>
    <w:basedOn w:val="Normal"/>
    <w:next w:val="Normal"/>
    <w:rsid w:val="006C7F87"/>
    <w:pPr>
      <w:jc w:val="center"/>
    </w:pPr>
    <w:rPr>
      <w:rFonts w:eastAsia="Times New Roman"/>
      <w:b/>
      <w:u w:val="single"/>
      <w:lang w:eastAsia="en-GB"/>
    </w:rPr>
  </w:style>
  <w:style w:type="paragraph" w:customStyle="1" w:styleId="Langueoriginale">
    <w:name w:val="Langue originale"/>
    <w:basedOn w:val="Normal"/>
    <w:rsid w:val="006C7F87"/>
    <w:pPr>
      <w:spacing w:before="360"/>
      <w:jc w:val="center"/>
    </w:pPr>
    <w:rPr>
      <w:rFonts w:eastAsia="Times New Roman"/>
      <w:caps/>
      <w:lang w:eastAsia="en-GB"/>
    </w:rPr>
  </w:style>
  <w:style w:type="paragraph" w:customStyle="1" w:styleId="Phrasefinale">
    <w:name w:val="Phrase finale"/>
    <w:basedOn w:val="Normal"/>
    <w:next w:val="Normal"/>
    <w:rsid w:val="006C7F87"/>
    <w:pPr>
      <w:spacing w:before="360" w:after="0"/>
      <w:jc w:val="center"/>
    </w:pPr>
    <w:rPr>
      <w:rFonts w:eastAsia="Times New Roman"/>
      <w:lang w:eastAsia="en-GB"/>
    </w:rPr>
  </w:style>
  <w:style w:type="paragraph" w:customStyle="1" w:styleId="Prliminairetitre">
    <w:name w:val="Préliminaire titre"/>
    <w:basedOn w:val="Normal"/>
    <w:next w:val="Normal"/>
    <w:rsid w:val="006C7F87"/>
    <w:pPr>
      <w:spacing w:before="360" w:after="360"/>
      <w:jc w:val="center"/>
    </w:pPr>
    <w:rPr>
      <w:rFonts w:eastAsia="Times New Roman"/>
      <w:b/>
      <w:lang w:eastAsia="en-GB"/>
    </w:rPr>
  </w:style>
  <w:style w:type="paragraph" w:customStyle="1" w:styleId="Prliminairetype">
    <w:name w:val="Préliminaire type"/>
    <w:basedOn w:val="Normal"/>
    <w:next w:val="Normal"/>
    <w:rsid w:val="006C7F8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C7F8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6C7F8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6C7F87"/>
    <w:pPr>
      <w:spacing w:before="0" w:after="0"/>
      <w:ind w:left="5103"/>
      <w:jc w:val="left"/>
    </w:pPr>
    <w:rPr>
      <w:rFonts w:eastAsia="Times New Roman"/>
      <w:lang w:eastAsia="en-GB"/>
    </w:rPr>
  </w:style>
  <w:style w:type="paragraph" w:customStyle="1" w:styleId="Sous-titreobjetprliminaire">
    <w:name w:val="Sous-titre objet (préliminaire)"/>
    <w:basedOn w:val="Normal"/>
    <w:rsid w:val="006C7F87"/>
    <w:pPr>
      <w:spacing w:before="0" w:after="0"/>
      <w:jc w:val="center"/>
    </w:pPr>
    <w:rPr>
      <w:rFonts w:eastAsia="Times New Roman"/>
      <w:b/>
      <w:lang w:eastAsia="en-GB"/>
    </w:rPr>
  </w:style>
  <w:style w:type="paragraph" w:customStyle="1" w:styleId="Statutprliminaire">
    <w:name w:val="Statut (préliminaire)"/>
    <w:basedOn w:val="Normal"/>
    <w:next w:val="Normal"/>
    <w:rsid w:val="006C7F87"/>
    <w:pPr>
      <w:spacing w:before="360" w:after="0"/>
      <w:jc w:val="center"/>
    </w:pPr>
    <w:rPr>
      <w:rFonts w:eastAsia="Times New Roman"/>
      <w:lang w:eastAsia="en-GB"/>
    </w:rPr>
  </w:style>
  <w:style w:type="paragraph" w:customStyle="1" w:styleId="Titreobjetprliminaire">
    <w:name w:val="Titre objet (préliminaire)"/>
    <w:basedOn w:val="Normal"/>
    <w:next w:val="Normal"/>
    <w:rsid w:val="006C7F8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C7F8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C7F8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C7F87"/>
    <w:pPr>
      <w:jc w:val="center"/>
    </w:pPr>
    <w:rPr>
      <w:rFonts w:eastAsia="Times New Roman"/>
      <w:b/>
      <w:u w:val="single"/>
      <w:lang w:eastAsia="en-GB"/>
    </w:rPr>
  </w:style>
  <w:style w:type="paragraph" w:customStyle="1" w:styleId="Fichefinanciretravailtitre">
    <w:name w:val="Fiche financière (travail) titre"/>
    <w:basedOn w:val="Normal"/>
    <w:next w:val="Normal"/>
    <w:rsid w:val="006C7F8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C7F8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C7F8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C7F87"/>
    <w:pPr>
      <w:jc w:val="center"/>
    </w:pPr>
    <w:rPr>
      <w:rFonts w:eastAsia="Times New Roman"/>
      <w:b/>
      <w:u w:val="single"/>
      <w:lang w:eastAsia="en-GB"/>
    </w:rPr>
  </w:style>
  <w:style w:type="character" w:styleId="CommentReference">
    <w:name w:val="annotation reference"/>
    <w:rsid w:val="006C7F87"/>
    <w:rPr>
      <w:rFonts w:cs="Times New Roman"/>
      <w:sz w:val="16"/>
      <w:szCs w:val="16"/>
    </w:rPr>
  </w:style>
  <w:style w:type="paragraph" w:styleId="CommentText">
    <w:name w:val="annotation text"/>
    <w:basedOn w:val="Normal"/>
    <w:link w:val="CommentTextChar"/>
    <w:rsid w:val="006C7F87"/>
    <w:rPr>
      <w:rFonts w:eastAsia="Times New Roman"/>
      <w:sz w:val="20"/>
      <w:szCs w:val="20"/>
      <w:lang w:eastAsia="en-GB"/>
    </w:rPr>
  </w:style>
  <w:style w:type="character" w:customStyle="1" w:styleId="CommentTextChar">
    <w:name w:val="Comment Text Char"/>
    <w:basedOn w:val="DefaultParagraphFont"/>
    <w:link w:val="CommentText"/>
    <w:rsid w:val="006C7F87"/>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6C7F87"/>
    <w:rPr>
      <w:b/>
      <w:bCs/>
    </w:rPr>
  </w:style>
  <w:style w:type="character" w:customStyle="1" w:styleId="CommentSubjectChar">
    <w:name w:val="Comment Subject Char"/>
    <w:basedOn w:val="CommentTextChar"/>
    <w:link w:val="CommentSubject"/>
    <w:rsid w:val="006C7F87"/>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6C7F8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6C7F87"/>
    <w:rPr>
      <w:rFonts w:ascii="Tahoma" w:eastAsia="Times New Roman" w:hAnsi="Tahoma" w:cs="Tahoma"/>
      <w:sz w:val="16"/>
      <w:szCs w:val="16"/>
      <w:lang w:val="ro-RO" w:eastAsia="en-GB"/>
    </w:rPr>
  </w:style>
  <w:style w:type="paragraph" w:styleId="Caption">
    <w:name w:val="caption"/>
    <w:basedOn w:val="Normal"/>
    <w:next w:val="Normal"/>
    <w:qFormat/>
    <w:rsid w:val="006C7F87"/>
    <w:rPr>
      <w:rFonts w:eastAsia="Times New Roman"/>
      <w:b/>
      <w:bCs/>
      <w:sz w:val="20"/>
      <w:szCs w:val="20"/>
      <w:lang w:eastAsia="en-GB"/>
    </w:rPr>
  </w:style>
  <w:style w:type="paragraph" w:styleId="TableofFigures">
    <w:name w:val="table of figures"/>
    <w:basedOn w:val="Normal"/>
    <w:next w:val="Normal"/>
    <w:rsid w:val="006C7F87"/>
    <w:rPr>
      <w:rFonts w:eastAsia="Times New Roman"/>
      <w:lang w:eastAsia="en-GB"/>
    </w:rPr>
  </w:style>
  <w:style w:type="character" w:styleId="PageNumber">
    <w:name w:val="page number"/>
    <w:rsid w:val="006C7F87"/>
  </w:style>
  <w:style w:type="character" w:customStyle="1" w:styleId="tw4winMark">
    <w:name w:val="tw4winMark"/>
    <w:rsid w:val="006C7F87"/>
    <w:rPr>
      <w:vanish/>
      <w:color w:val="800080"/>
      <w:vertAlign w:val="subscript"/>
    </w:rPr>
  </w:style>
  <w:style w:type="character" w:styleId="FollowedHyperlink">
    <w:name w:val="FollowedHyperlink"/>
    <w:rsid w:val="006C7F87"/>
    <w:rPr>
      <w:color w:val="800080"/>
      <w:u w:val="single"/>
    </w:rPr>
  </w:style>
  <w:style w:type="paragraph" w:customStyle="1" w:styleId="Sous-titreobjet">
    <w:name w:val="Sous-titre objet"/>
    <w:basedOn w:val="Normal"/>
    <w:rsid w:val="006C7F8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C7F87"/>
  </w:style>
  <w:style w:type="paragraph" w:styleId="Revision">
    <w:name w:val="Revision"/>
    <w:hidden/>
    <w:uiPriority w:val="99"/>
    <w:semiHidden/>
    <w:rsid w:val="006C7F87"/>
    <w:rPr>
      <w:rFonts w:ascii="Calibri" w:eastAsia="Calibri" w:hAnsi="Calibri" w:cs="Times New Roman"/>
      <w:sz w:val="24"/>
      <w:lang w:eastAsia="en-GB"/>
    </w:rPr>
  </w:style>
  <w:style w:type="paragraph" w:customStyle="1" w:styleId="FooterCoverPage">
    <w:name w:val="Footer Cover Page"/>
    <w:basedOn w:val="Normal"/>
    <w:link w:val="FooterCoverPageChar"/>
    <w:rsid w:val="006C7F8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6C7F87"/>
    <w:rPr>
      <w:rFonts w:ascii="Times New Roman" w:hAnsi="Times New Roman" w:cs="Times New Roman"/>
      <w:b/>
      <w:sz w:val="28"/>
      <w:lang w:val="ro-RO"/>
    </w:rPr>
  </w:style>
  <w:style w:type="character" w:customStyle="1" w:styleId="FooterCoverPageChar">
    <w:name w:val="Footer Cover Page Char"/>
    <w:link w:val="FooterCoverPage"/>
    <w:rsid w:val="006C7F87"/>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6C7F8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6C7F87"/>
    <w:rPr>
      <w:rFonts w:ascii="Times New Roman" w:eastAsia="Calibri" w:hAnsi="Times New Roman" w:cs="Times New Roman"/>
      <w:sz w:val="24"/>
      <w:lang w:val="ro-RO" w:eastAsia="en-GB"/>
    </w:rPr>
  </w:style>
  <w:style w:type="character" w:customStyle="1" w:styleId="FooterSensitivityChar">
    <w:name w:val="Footer Sensitivity Char"/>
    <w:rsid w:val="006C7F87"/>
    <w:rPr>
      <w:rFonts w:ascii="Times New Roman" w:hAnsi="Times New Roman" w:cs="Times New Roman"/>
      <w:b/>
      <w:sz w:val="32"/>
      <w:lang w:val="ro-RO"/>
    </w:rPr>
  </w:style>
  <w:style w:type="character" w:customStyle="1" w:styleId="HeaderSensitivityChar">
    <w:name w:val="Header Sensitivity Char"/>
    <w:rsid w:val="006C7F87"/>
    <w:rPr>
      <w:rFonts w:ascii="Times New Roman" w:hAnsi="Times New Roman" w:cs="Times New Roman"/>
      <w:b/>
      <w:sz w:val="32"/>
      <w:lang w:val="ro-RO"/>
    </w:rPr>
  </w:style>
  <w:style w:type="character" w:customStyle="1" w:styleId="HeaderSensitivityRightChar">
    <w:name w:val="Header Sensitivity Right Char"/>
    <w:rsid w:val="006C7F87"/>
    <w:rPr>
      <w:rFonts w:ascii="Times New Roman" w:hAnsi="Times New Roman" w:cs="Times New Roman"/>
      <w:sz w:val="28"/>
      <w:lang w:val="ro-RO"/>
    </w:rPr>
  </w:style>
  <w:style w:type="paragraph" w:customStyle="1" w:styleId="LegalNumPar">
    <w:name w:val="LegalNumPar"/>
    <w:basedOn w:val="Normal"/>
    <w:rsid w:val="006C7F87"/>
    <w:pPr>
      <w:numPr>
        <w:numId w:val="16"/>
      </w:numPr>
      <w:spacing w:line="360" w:lineRule="auto"/>
    </w:pPr>
    <w:rPr>
      <w:rFonts w:eastAsia="Times New Roman"/>
      <w:lang w:eastAsia="en-GB"/>
    </w:rPr>
  </w:style>
  <w:style w:type="paragraph" w:customStyle="1" w:styleId="LegalNumPar2">
    <w:name w:val="LegalNumPar2"/>
    <w:basedOn w:val="Normal"/>
    <w:rsid w:val="006C7F87"/>
    <w:pPr>
      <w:numPr>
        <w:ilvl w:val="1"/>
        <w:numId w:val="16"/>
      </w:numPr>
      <w:spacing w:line="360" w:lineRule="auto"/>
    </w:pPr>
    <w:rPr>
      <w:rFonts w:eastAsia="Times New Roman"/>
      <w:lang w:eastAsia="en-GB"/>
    </w:rPr>
  </w:style>
  <w:style w:type="paragraph" w:customStyle="1" w:styleId="LegalNumPar3">
    <w:name w:val="LegalNumPar3"/>
    <w:basedOn w:val="Normal"/>
    <w:rsid w:val="006C7F87"/>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6C7F87"/>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6C7F87"/>
    <w:rPr>
      <w:color w:val="605E5C"/>
      <w:shd w:val="clear" w:color="auto" w:fill="E1DFDD"/>
    </w:rPr>
  </w:style>
  <w:style w:type="character" w:styleId="Strong">
    <w:name w:val="Strong"/>
    <w:basedOn w:val="DefaultParagraphFont"/>
    <w:qFormat/>
    <w:rsid w:val="006C7F87"/>
    <w:rPr>
      <w:b/>
      <w:bCs/>
    </w:rPr>
  </w:style>
  <w:style w:type="character" w:styleId="Emphasis">
    <w:name w:val="Emphasis"/>
    <w:basedOn w:val="DefaultParagraphFont"/>
    <w:qFormat/>
    <w:rsid w:val="006C7F87"/>
    <w:rPr>
      <w:i/>
      <w:iCs/>
    </w:rPr>
  </w:style>
  <w:style w:type="character" w:customStyle="1" w:styleId="Mention">
    <w:name w:val="Mention"/>
    <w:basedOn w:val="DefaultParagraphFont"/>
    <w:uiPriority w:val="99"/>
    <w:unhideWhenUsed/>
    <w:rsid w:val="006C7F87"/>
    <w:rPr>
      <w:color w:val="2B579A"/>
      <w:shd w:val="clear" w:color="auto" w:fill="E1DFDD"/>
    </w:rPr>
  </w:style>
  <w:style w:type="character" w:customStyle="1" w:styleId="normaltextrun">
    <w:name w:val="normaltextrun"/>
    <w:basedOn w:val="DefaultParagraphFont"/>
    <w:rsid w:val="006C7F87"/>
  </w:style>
  <w:style w:type="character" w:customStyle="1" w:styleId="eop">
    <w:name w:val="eop"/>
    <w:basedOn w:val="DefaultParagraphFont"/>
    <w:rsid w:val="006C7F87"/>
  </w:style>
  <w:style w:type="paragraph" w:customStyle="1" w:styleId="CharCharChar1">
    <w:name w:val="Char Char Char1"/>
    <w:basedOn w:val="Normal"/>
    <w:link w:val="FootnoteReference"/>
    <w:uiPriority w:val="99"/>
    <w:rsid w:val="00FE1115"/>
    <w:pPr>
      <w:spacing w:before="0" w:after="160" w:line="240" w:lineRule="exact"/>
    </w:pPr>
    <w:rPr>
      <w:rFonts w:asciiTheme="minorHAnsi" w:hAnsiTheme="minorHAnsi" w:cstheme="minorBidi"/>
      <w:sz w:val="22"/>
      <w:vertAlign w:val="superscript"/>
    </w:rPr>
  </w:style>
  <w:style w:type="character" w:customStyle="1" w:styleId="superscript">
    <w:name w:val="superscript"/>
    <w:basedOn w:val="DefaultParagraphFont"/>
    <w:rsid w:val="001275AC"/>
  </w:style>
  <w:style w:type="paragraph" w:customStyle="1" w:styleId="paragraph">
    <w:name w:val="paragraph"/>
    <w:basedOn w:val="Normal"/>
    <w:rsid w:val="001275AC"/>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33790A"/>
    <w:rPr>
      <w:rFonts w:ascii="Times New Roman" w:hAnsi="Times New Roman" w:cs="Times New Roman"/>
      <w:sz w:val="24"/>
      <w:lang w:val="ro-RO"/>
    </w:rPr>
  </w:style>
  <w:style w:type="character" w:customStyle="1" w:styleId="FooterChar">
    <w:name w:val="Footer Char"/>
    <w:basedOn w:val="DefaultParagraphFont"/>
    <w:link w:val="Footer"/>
    <w:uiPriority w:val="99"/>
    <w:rsid w:val="0033790A"/>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33790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3790A"/>
    <w:pPr>
      <w:spacing w:before="0"/>
      <w:jc w:val="right"/>
    </w:pPr>
    <w:rPr>
      <w:sz w:val="28"/>
    </w:rPr>
  </w:style>
  <w:style w:type="paragraph" w:customStyle="1" w:styleId="FooterSensitivity">
    <w:name w:val="Footer Sensitivity"/>
    <w:basedOn w:val="Normal"/>
    <w:rsid w:val="0033790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3790A"/>
    <w:pPr>
      <w:tabs>
        <w:tab w:val="center" w:pos="4535"/>
        <w:tab w:val="right" w:pos="9071"/>
      </w:tabs>
      <w:spacing w:before="0"/>
    </w:pPr>
  </w:style>
  <w:style w:type="paragraph" w:customStyle="1" w:styleId="HeaderLandscape">
    <w:name w:val="HeaderLandscape"/>
    <w:basedOn w:val="Normal"/>
    <w:rsid w:val="0033790A"/>
    <w:pPr>
      <w:tabs>
        <w:tab w:val="center" w:pos="7285"/>
        <w:tab w:val="right" w:pos="14003"/>
      </w:tabs>
      <w:spacing w:before="0"/>
    </w:pPr>
  </w:style>
  <w:style w:type="paragraph" w:styleId="Footer">
    <w:name w:val="footer"/>
    <w:basedOn w:val="Normal"/>
    <w:link w:val="FooterChar"/>
    <w:uiPriority w:val="99"/>
    <w:unhideWhenUsed/>
    <w:rsid w:val="0033790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3790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4513">
      <w:bodyDiv w:val="1"/>
      <w:marLeft w:val="0"/>
      <w:marRight w:val="0"/>
      <w:marTop w:val="0"/>
      <w:marBottom w:val="0"/>
      <w:divBdr>
        <w:top w:val="none" w:sz="0" w:space="0" w:color="auto"/>
        <w:left w:val="none" w:sz="0" w:space="0" w:color="auto"/>
        <w:bottom w:val="none" w:sz="0" w:space="0" w:color="auto"/>
        <w:right w:val="none" w:sz="0" w:space="0" w:color="auto"/>
      </w:divBdr>
      <w:divsChild>
        <w:div w:id="47657470">
          <w:marLeft w:val="0"/>
          <w:marRight w:val="0"/>
          <w:marTop w:val="0"/>
          <w:marBottom w:val="0"/>
          <w:divBdr>
            <w:top w:val="none" w:sz="0" w:space="0" w:color="auto"/>
            <w:left w:val="none" w:sz="0" w:space="0" w:color="auto"/>
            <w:bottom w:val="none" w:sz="0" w:space="0" w:color="auto"/>
            <w:right w:val="none" w:sz="0" w:space="0" w:color="auto"/>
          </w:divBdr>
        </w:div>
      </w:divsChild>
    </w:div>
    <w:div w:id="324014887">
      <w:bodyDiv w:val="1"/>
      <w:marLeft w:val="0"/>
      <w:marRight w:val="0"/>
      <w:marTop w:val="0"/>
      <w:marBottom w:val="0"/>
      <w:divBdr>
        <w:top w:val="none" w:sz="0" w:space="0" w:color="auto"/>
        <w:left w:val="none" w:sz="0" w:space="0" w:color="auto"/>
        <w:bottom w:val="none" w:sz="0" w:space="0" w:color="auto"/>
        <w:right w:val="none" w:sz="0" w:space="0" w:color="auto"/>
      </w:divBdr>
    </w:div>
    <w:div w:id="521017053">
      <w:bodyDiv w:val="1"/>
      <w:marLeft w:val="0"/>
      <w:marRight w:val="0"/>
      <w:marTop w:val="0"/>
      <w:marBottom w:val="0"/>
      <w:divBdr>
        <w:top w:val="none" w:sz="0" w:space="0" w:color="auto"/>
        <w:left w:val="none" w:sz="0" w:space="0" w:color="auto"/>
        <w:bottom w:val="none" w:sz="0" w:space="0" w:color="auto"/>
        <w:right w:val="none" w:sz="0" w:space="0" w:color="auto"/>
      </w:divBdr>
    </w:div>
    <w:div w:id="946280079">
      <w:bodyDiv w:val="1"/>
      <w:marLeft w:val="0"/>
      <w:marRight w:val="0"/>
      <w:marTop w:val="0"/>
      <w:marBottom w:val="0"/>
      <w:divBdr>
        <w:top w:val="none" w:sz="0" w:space="0" w:color="auto"/>
        <w:left w:val="none" w:sz="0" w:space="0" w:color="auto"/>
        <w:bottom w:val="none" w:sz="0" w:space="0" w:color="auto"/>
        <w:right w:val="none" w:sz="0" w:space="0" w:color="auto"/>
      </w:divBdr>
    </w:div>
    <w:div w:id="1028676973">
      <w:bodyDiv w:val="1"/>
      <w:marLeft w:val="0"/>
      <w:marRight w:val="0"/>
      <w:marTop w:val="0"/>
      <w:marBottom w:val="0"/>
      <w:divBdr>
        <w:top w:val="none" w:sz="0" w:space="0" w:color="auto"/>
        <w:left w:val="none" w:sz="0" w:space="0" w:color="auto"/>
        <w:bottom w:val="none" w:sz="0" w:space="0" w:color="auto"/>
        <w:right w:val="none" w:sz="0" w:space="0" w:color="auto"/>
      </w:divBdr>
    </w:div>
    <w:div w:id="1255939007">
      <w:bodyDiv w:val="1"/>
      <w:marLeft w:val="0"/>
      <w:marRight w:val="0"/>
      <w:marTop w:val="0"/>
      <w:marBottom w:val="0"/>
      <w:divBdr>
        <w:top w:val="none" w:sz="0" w:space="0" w:color="auto"/>
        <w:left w:val="none" w:sz="0" w:space="0" w:color="auto"/>
        <w:bottom w:val="none" w:sz="0" w:space="0" w:color="auto"/>
        <w:right w:val="none" w:sz="0" w:space="0" w:color="auto"/>
      </w:divBdr>
    </w:div>
    <w:div w:id="1311061037">
      <w:bodyDiv w:val="1"/>
      <w:marLeft w:val="0"/>
      <w:marRight w:val="0"/>
      <w:marTop w:val="0"/>
      <w:marBottom w:val="0"/>
      <w:divBdr>
        <w:top w:val="none" w:sz="0" w:space="0" w:color="auto"/>
        <w:left w:val="none" w:sz="0" w:space="0" w:color="auto"/>
        <w:bottom w:val="none" w:sz="0" w:space="0" w:color="auto"/>
        <w:right w:val="none" w:sz="0" w:space="0" w:color="auto"/>
      </w:divBdr>
    </w:div>
    <w:div w:id="1350836857">
      <w:bodyDiv w:val="1"/>
      <w:marLeft w:val="0"/>
      <w:marRight w:val="0"/>
      <w:marTop w:val="0"/>
      <w:marBottom w:val="0"/>
      <w:divBdr>
        <w:top w:val="none" w:sz="0" w:space="0" w:color="auto"/>
        <w:left w:val="none" w:sz="0" w:space="0" w:color="auto"/>
        <w:bottom w:val="none" w:sz="0" w:space="0" w:color="auto"/>
        <w:right w:val="none" w:sz="0" w:space="0" w:color="auto"/>
      </w:divBdr>
      <w:divsChild>
        <w:div w:id="215434060">
          <w:marLeft w:val="0"/>
          <w:marRight w:val="0"/>
          <w:marTop w:val="0"/>
          <w:marBottom w:val="0"/>
          <w:divBdr>
            <w:top w:val="none" w:sz="0" w:space="0" w:color="auto"/>
            <w:left w:val="none" w:sz="0" w:space="0" w:color="auto"/>
            <w:bottom w:val="none" w:sz="0" w:space="0" w:color="auto"/>
            <w:right w:val="none" w:sz="0" w:space="0" w:color="auto"/>
          </w:divBdr>
        </w:div>
      </w:divsChild>
    </w:div>
    <w:div w:id="1514344084">
      <w:bodyDiv w:val="1"/>
      <w:marLeft w:val="0"/>
      <w:marRight w:val="0"/>
      <w:marTop w:val="0"/>
      <w:marBottom w:val="0"/>
      <w:divBdr>
        <w:top w:val="none" w:sz="0" w:space="0" w:color="auto"/>
        <w:left w:val="none" w:sz="0" w:space="0" w:color="auto"/>
        <w:bottom w:val="none" w:sz="0" w:space="0" w:color="auto"/>
        <w:right w:val="none" w:sz="0" w:space="0" w:color="auto"/>
      </w:divBdr>
    </w:div>
    <w:div w:id="1659266261">
      <w:bodyDiv w:val="1"/>
      <w:marLeft w:val="0"/>
      <w:marRight w:val="0"/>
      <w:marTop w:val="0"/>
      <w:marBottom w:val="0"/>
      <w:divBdr>
        <w:top w:val="none" w:sz="0" w:space="0" w:color="auto"/>
        <w:left w:val="none" w:sz="0" w:space="0" w:color="auto"/>
        <w:bottom w:val="none" w:sz="0" w:space="0" w:color="auto"/>
        <w:right w:val="none" w:sz="0" w:space="0" w:color="auto"/>
      </w:divBdr>
    </w:div>
    <w:div w:id="1965305258">
      <w:bodyDiv w:val="1"/>
      <w:marLeft w:val="0"/>
      <w:marRight w:val="0"/>
      <w:marTop w:val="0"/>
      <w:marBottom w:val="0"/>
      <w:divBdr>
        <w:top w:val="none" w:sz="0" w:space="0" w:color="auto"/>
        <w:left w:val="none" w:sz="0" w:space="0" w:color="auto"/>
        <w:bottom w:val="none" w:sz="0" w:space="0" w:color="auto"/>
        <w:right w:val="none" w:sz="0" w:space="0" w:color="auto"/>
      </w:divBdr>
    </w:div>
    <w:div w:id="20691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04/109/oj" TargetMode="External"/><Relationship Id="rId2" Type="http://schemas.openxmlformats.org/officeDocument/2006/relationships/hyperlink" Target="http://data.europa.eu/eli/dir/2022/2464/oj" TargetMode="External"/><Relationship Id="rId1" Type="http://schemas.openxmlformats.org/officeDocument/2006/relationships/hyperlink" Target="https://ec.europa.eu/info/law/better-regulation/have-your-say/initiatives/13990-Sarcina-administrativa-rationalizarea-cerintelor-de-raportare_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7" ma:contentTypeDescription="Create a new document." ma:contentTypeScope="" ma:versionID="f73c37285628b2366a89f641e7689f71">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c70d7dd3deae9a87ba71169aedc48e"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A273-EA73-454C-9DAA-DC2DF2A57282}">
  <ds:schemaRefs>
    <ds:schemaRef ds:uri="http://schemas.microsoft.com/sharepoint/v3/contenttype/forms"/>
  </ds:schemaRefs>
</ds:datastoreItem>
</file>

<file path=customXml/itemProps2.xml><?xml version="1.0" encoding="utf-8"?>
<ds:datastoreItem xmlns:ds="http://schemas.openxmlformats.org/officeDocument/2006/customXml" ds:itemID="{B717BDEE-200C-44B5-AFCE-EBB038138D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AF1348-560B-47F8-B8B1-BFEBDD1C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41662-535C-45E2-9271-C8D0AEB9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9511</Words>
  <Characters>54219</Characters>
  <Application>Microsoft Office Word</Application>
  <DocSecurity>0</DocSecurity>
  <Lines>451</Lines>
  <Paragraphs>127</Paragraphs>
  <ScaleCrop>false</ScaleCrop>
  <Manager/>
  <Company/>
  <LinksUpToDate>false</LinksUpToDate>
  <CharactersWithSpaces>63603</CharactersWithSpaces>
  <SharedDoc>false</SharedDoc>
  <HLinks>
    <vt:vector size="18" baseType="variant">
      <vt:variant>
        <vt:i4>4325405</vt:i4>
      </vt:variant>
      <vt:variant>
        <vt:i4>6</vt:i4>
      </vt:variant>
      <vt:variant>
        <vt:i4>0</vt:i4>
      </vt:variant>
      <vt:variant>
        <vt:i4>5</vt:i4>
      </vt:variant>
      <vt:variant>
        <vt:lpwstr>http://data.europa.eu/eli/dir/2004/109/oj</vt:lpwstr>
      </vt:variant>
      <vt:variant>
        <vt:lpwstr/>
      </vt:variant>
      <vt:variant>
        <vt:i4>6422639</vt:i4>
      </vt:variant>
      <vt:variant>
        <vt:i4>3</vt:i4>
      </vt:variant>
      <vt:variant>
        <vt:i4>0</vt:i4>
      </vt:variant>
      <vt:variant>
        <vt:i4>5</vt:i4>
      </vt:variant>
      <vt:variant>
        <vt:lpwstr>http://data.europa.eu/eli/dir/2022/2464/oj</vt:lpwstr>
      </vt:variant>
      <vt:variant>
        <vt:lpwstr/>
      </vt:variant>
      <vt:variant>
        <vt:i4>4653104</vt:i4>
      </vt:variant>
      <vt:variant>
        <vt:i4>0</vt:i4>
      </vt:variant>
      <vt:variant>
        <vt:i4>0</vt:i4>
      </vt:variant>
      <vt:variant>
        <vt:i4>5</vt:i4>
      </vt:variant>
      <vt:variant>
        <vt:lpwstr>https://ec.europa.eu/info/law/better-regulation/have-your-say/initiatives/13990-Administrative-burden-rationalisation-of-reporting-requirements_en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2025-02-26T11:39:00Z</dcterms:created>
  <dcterms:modified xsi:type="dcterms:W3CDTF">2025-03-12T18:53:00Z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2025-02-21T15:51:21Z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03b77c0d-8107-46a8-bc38-8266399f79f7</vt:lpwstr>
  </property>
  <property fmtid="{D5CDD505-2E9C-101B-9397-08002B2CF9AE}" pid="9" name="MSIP_Label_6bd9ddd1-4d20-43f6-abfa-fc3c07406f94_ContentBits">
    <vt:lpwstr>0</vt:lpwstr>
  </property>
  <property fmtid="{D5CDD505-2E9C-101B-9397-08002B2CF9AE}" pid="10" name="ContentTypeId">
    <vt:lpwstr>0x0101007697B7BFF882854783B2AFEB81A9CCE9</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